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소수 부품 조립 순서와 핵자 구성</w:t>
      </w:r>
    </w:p>
    <w:p>
      <w:pPr>
        <w:pStyle w:val="Subtitle"/>
      </w:pPr>
      <w:r>
        <w:t>WRRA 정수 주소 105의 유한 조립 사례</w:t>
      </w:r>
    </w:p>
    <w:p>
      <w:pPr>
        <w:spacing w:after="60"/>
      </w:pPr>
      <w:r>
        <w:rPr>
          <w:sz w:val="18"/>
        </w:rPr>
        <w:t>최원식 Wonsik Choi | 독립연구자 서울 | 단독 저자</w:t>
      </w:r>
    </w:p>
    <w:p>
      <w:pPr>
        <w:spacing w:after="60"/>
      </w:pPr>
      <w:r>
        <w:rPr>
          <w:sz w:val="18"/>
        </w:rPr>
        <w:t>janefather@gmail.com | ORCID 0009-0001-4263-9772 | 2026년 10월 4일</w:t>
      </w:r>
    </w:p>
    <w:p>
      <w:pPr>
        <w:spacing w:after="60"/>
      </w:pPr>
      <w:r>
        <w:rPr>
          <w:sz w:val="18"/>
        </w:rPr>
        <w:t>논문 DOI 10.5281/zenodo.23137504 | 데이터셋 DOI 10.5281/zenodo.23137540</w:t>
      </w:r>
    </w:p>
    <w:p>
      <w:pPr>
        <w:pStyle w:val="Heading1"/>
      </w:pPr>
      <w:r>
        <w:t>초록과 판정 경로</w:t>
      </w:r>
    </w:p>
    <w:p>
      <w:r>
        <w:rPr>
          <w:b/>
        </w:rPr>
        <w:t xml:space="preserve">검증 입력 </w:t>
      </w:r>
      <w:r>
        <w:t>기존 공개 조립 코드와 기록된 핵자·전자 정지에너지를 사용한다. 주소 105, 첫 15개 소수, 두 순서와 핵자 배정은 고정한 구성이다.</w:t>
      </w:r>
    </w:p>
    <w:p>
      <w:r>
        <w:rPr>
          <w:b/>
        </w:rPr>
        <w:t xml:space="preserve">WRRA 고유 변환 </w:t>
      </w:r>
      <w:r>
        <w:t>주소를 소수 부품으로 조립하고 표지를 보존한 채 핵자 상태로 읽는다. 미사용 원천과 에너지 차액을 포함해 두 배정을 같은 예산으로 비교한다.</w:t>
      </w:r>
    </w:p>
    <w:p>
      <w:r>
        <w:rPr>
          <w:b/>
        </w:rPr>
        <w:t xml:space="preserve">산출값 </w:t>
      </w:r>
      <w:r>
        <w:t>작은 우선은 부품 11개와 중성자 n 1개·D 10개, 큰 우선은 부품 4개와 n 1개·D 3개를 낸다. D는 양성자·전자·전자 반중성미자 묶음이다. 총 B=11과 에너지 10335.21964134 MeV는 같다.</w:t>
      </w:r>
    </w:p>
    <w:p>
      <w:r>
        <w:rPr>
          <w:b/>
        </w:rPr>
        <w:t xml:space="preserve">반증조건 </w:t>
      </w:r>
      <w:r>
        <w:t>고정 규칙에서 조립 결과가 달라지거나 주소 합, 전하·바리온수·렙톤수 또는 총에너지 보존이 깨지면 이 사례의 계산·연결이 실패한다.</w:t>
      </w:r>
    </w:p>
    <w:p>
      <w:pPr>
        <w:pStyle w:val="Heading1"/>
      </w:pPr>
      <w:r>
        <w:t>1 유한 조립 규칙</w:t>
      </w:r>
    </w:p>
    <w:p>
      <w:r>
        <w:t>WRRA 부품 계열의 조립과 핵자 판독을 하나의 짧은 사례로 제시한다[1]. 소수는 부품의 표지이며 정수 주소는 그 표지의 가산 합이다. 첫 15개 소수 풀은 다음과 같다.</w:t>
      </w:r>
    </w:p>
    <w:p>
      <w:pPr>
        <w:keepLines/>
        <w:spacing w:before="60" w:after="100"/>
        <w:jc w:val="center"/>
      </w:pPr>
      <m:oMath>
        <m:r>
          <m:rPr>
            <m:nor/>
          </m:rPr>
          <m:t>2, 3, 5, 7, 11, 13, 17, 19, 23, 29, 31, 37, 41, 43, 47</m:t>
        </m:r>
      </m:oMath>
    </w:p>
    <w:p>
      <w:r>
        <w:t>잔여값을 105로 시작한다. 선택한 순서로 소수를 한 번씩 방문하여 잔여값 이하이면 부품 한 개를 채택하고 그 소수를 뺀다. 한 순회 후 잔여값이 2 이상이면 같은 순서를 반복한다. 잔여값이 0 또는 1이면 종료한다.</w:t>
      </w:r>
    </w:p>
    <w:p>
      <w:pPr>
        <w:pStyle w:val="Heading1"/>
      </w:pPr>
      <w:r>
        <w:t>2 같은 주소의 두 조립</w:t>
      </w:r>
    </w:p>
    <w:p>
      <w:pPr>
        <w:keepLines/>
        <w:spacing w:before="60" w:after="100"/>
        <w:jc w:val="center"/>
      </w:pPr>
      <m:oMath>
        <m:r>
          <m:rPr>
            <m:nor/>
          </m:rPr>
          <m:t>105 = 2 + 3 + 5 + 7 + 11 + 13 + 17 + 19 + 23 + 2 + 3</m:t>
        </m:r>
      </m:oMath>
    </w:p>
    <w:p>
      <w:pPr>
        <w:keepLines/>
        <w:spacing w:before="60" w:after="100"/>
        <w:jc w:val="center"/>
      </w:pPr>
      <m:oMath>
        <m:r>
          <m:rPr>
            <m:nor/>
          </m:rPr>
          <m:t>105 = 47 + 43 + 13 + 2</m:t>
        </m:r>
      </m:oMath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600"/>
            <w:vAlign w:val="center"/>
            <w:shd w:fill="E7EDF3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sz w:val="20"/>
              </w:rPr>
              <w:t>비교 항목</w:t>
            </w:r>
          </w:p>
        </w:tc>
        <w:tc>
          <w:tcPr>
            <w:tcW w:type="dxa" w:w="3240"/>
            <w:vAlign w:val="center"/>
            <w:shd w:fill="E7EDF3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작은 소수 우선</w:t>
            </w:r>
          </w:p>
        </w:tc>
        <w:tc>
          <w:tcPr>
            <w:tcW w:type="dxa" w:w="3240"/>
            <w:vAlign w:val="center"/>
            <w:shd w:fill="E7EDF3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큰 소수 우선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활성 부품 수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중성자 부품 표지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47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핵자 판독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n 1개 + D 10개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n 1개 + D 3개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미사용 원천 바리온수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주소 잔여값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pPr>
        <w:spacing w:after="20"/>
      </w:pPr>
      <w:r/>
    </w:p>
    <w:p>
      <w:r>
        <w:t>작은 우선은 첫 순회에서 100을 사용하고, 다음 순회에서 2와 3을 채택한다. 큰 우선은 47과 43 뒤에 남은 15에 맞는 13과 2를 채택한다. 같은 정수 합에 서로 다른 활성 구성이 대응한다.</w:t>
      </w:r>
    </w:p>
    <w:p>
      <w:pPr>
        <w:pStyle w:val="Heading1"/>
        <w:pageBreakBefore/>
      </w:pPr>
      <w:r>
        <w:t>3 핵자 판독과 공통 자원 예산</w:t>
      </w:r>
    </w:p>
    <w:p>
      <w:r>
        <w:t>이 구성은 표지 5·47을 중성자 n으로, 나머지를 완성된 묶음 D로 읽는다. D는 양성자 p, 전자 e, 전자 반중성미자를 포함한다. 각 부품은 전하 Q=0, 바리온수 B=1, 렙톤수 L=0이다. 전자와 반중성미자의 렙톤수가 상쇄되며, 반복 부품의 표지와 발생 순번도 유지한다.</w:t>
      </w:r>
    </w:p>
    <w:p>
      <w:r>
        <w:t>공통 원천의 바리온수는 두 조립의 최대 부품 수인 11로 정한다. 큰 우선의 미사용 7은 중성자와 같은 에너지 예산을 갖는 비활성 원천으로 보관한다. 이 저장분은 모형의 준비 조건이다. 실제 자유 중성자를 안정하게 만든 것으로 해석하지 않는다.</w:t>
      </w:r>
    </w:p>
    <w:p>
      <w:r>
        <w:t>기록된 정지에너지는 중성자 939.56542194, 양성자 938.27208943, 전자 0.51099895069 MeV이다. D 한 개의 정지에너지 합은 938.78308838069 MeV이며, 원천과의 차액 0.78233355931 MeV를 반중성미자 관련 에너지·운동·반동의 총예산으로 유지한다. 개별 분배와 광자 발생은 이 사례에서 계산하지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95" w:type="dxa"/>
          <w:right w:w="95" w:type="dxa"/>
        </w:tblCellMar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600"/>
            <w:vAlign w:val="center"/>
            <w:shd w:fill="E7EDF3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sz w:val="20"/>
              </w:rPr>
              <w:t>에너지 항목  단위 MeV</w:t>
            </w:r>
          </w:p>
        </w:tc>
        <w:tc>
          <w:tcPr>
            <w:tcW w:type="dxa" w:w="3240"/>
            <w:vAlign w:val="center"/>
            <w:shd w:fill="E7EDF3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작은 소수 우선</w:t>
            </w:r>
          </w:p>
        </w:tc>
        <w:tc>
          <w:tcPr>
            <w:tcW w:type="dxa" w:w="3240"/>
            <w:vAlign w:val="center"/>
            <w:shd w:fill="E7EDF3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0"/>
              </w:rPr>
              <w:t>큰 소수 우선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활성 입자 정지에너지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10327.39630574690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3755.91468708207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D 비정지에너지 예산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7.82333559310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2.34700067793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미사용 원천 에너지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6576.95795358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0"/>
              </w:rPr>
              <w:t>총합과 공통 원천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10335.21964134000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0"/>
              </w:rPr>
              <w:t>10335.21964134000</w:t>
            </w:r>
          </w:p>
        </w:tc>
      </w:tr>
    </w:tbl>
    <w:p>
      <w:pPr>
        <w:spacing w:after="20"/>
      </w:pPr>
      <w:r/>
    </w:p>
    <w:p>
      <w:r>
        <w:t>정수 주소 105는 바리온수나 MeV 에너지가 아니다. 주소 잔여값은 두 경우 모두 0이지만, 큰 우선의 원천 저장분은 7이다. 주소 합과 물리적 자원 장부는 각각 보존한다.</w:t>
      </w:r>
    </w:p>
    <w:p>
      <w:pPr>
        <w:pStyle w:val="Heading1"/>
      </w:pPr>
      <w:r>
        <w:t>4 해석과 외부 검토 질문</w:t>
      </w:r>
    </w:p>
    <w:p>
      <w:r>
        <w:t>이 사례는 조립 순서에서 활성 핵자 구성으로 이어지는 WRRA의 변환을 실제 계산으로 보여준다. 알려진 정지에너지를 반영한 자원 보존은 선택한 구성의 현실 정합성을 뒷받침한다. 공통 예산을 가진 두 배정의 비교이며, 동일 미시상태가 순서만 바꿔 두 결과로 진화하는 준비·전이 동역학은 별도 검토할 부분이다.</w:t>
      </w:r>
    </w:p>
    <w:p>
      <w:r>
        <w:t>외부 검토의 핵심은 소수 표지별 핵자 배정과 비활성 저장분을 어떤 물리적 준비로 구현할 수 있는지, 그리고 풀·순서·배정을 바꾼 대조 계산에서 어떤 구성 변화가 유지되는지다. 본 사례 데이터셋의 실행 범위는 정적 조립·핵자 판독·자원 예산까지다.</w:t>
      </w:r>
    </w:p>
    <w:p>
      <w:pPr>
        <w:pStyle w:val="Heading1"/>
      </w:pPr>
      <w:r>
        <w:t>5 별도 데이터셋과 재현</w:t>
      </w:r>
    </w:p>
    <w:p>
      <w:r>
        <w:t>데이터셋[2]은 입력 JSON, 조립 방문 45행, 선택 부품 15행, 소수별 집계 30행, 두 경우의 자원 장부, 결과 JSON과 표준 Python 재현 코드를 담는다. 재현 코드의 28개 검사와 기존 조립 코드 대조의 13개 검사를 통과했다. 검사 수는 구현·보존 점검 항목 수다. python reproduce.py --check로 배포 데이터와 재계산 결과를 비교한다.</w:t>
      </w:r>
    </w:p>
    <w:p>
      <w:pPr>
        <w:pStyle w:val="Heading1"/>
      </w:pPr>
      <w:r>
        <w:t>자료와 출처</w:t>
      </w:r>
    </w:p>
    <w:p>
      <w:pPr>
        <w:spacing w:after="60"/>
      </w:pPr>
      <w:r>
        <w:rPr>
          <w:sz w:val="18"/>
        </w:rPr>
        <w:t>[1] Wonsik Choi. WRRA Prime Parts Rendering Followup 0.1–0.12 Reviewed and Corrected Collection. DOI 10.5281/zenodo.23134716.</w:t>
      </w:r>
    </w:p>
    <w:p>
      <w:pPr>
        <w:spacing w:after="60"/>
      </w:pPr>
      <w:r>
        <w:rPr>
          <w:sz w:val="18"/>
        </w:rPr>
        <w:t>[2] Wonsik Choi. WRRA Address 105 Prime Parts Case Study Dataset, 1.0.0. DOI 10.5281/zenodo.23137540.</w:t>
      </w:r>
    </w:p>
    <w:p>
      <w:pPr>
        <w:spacing w:after="60"/>
      </w:pPr>
      <w:hyperlink r:id="rId10">
        <w:r>
          <w:rPr>
            <w:sz w:val="19"/>
          </w:rPr>
          <w:t>GitHub 사례 논문과 데이터셋</w:t>
        </w:r>
      </w:hyperlink>
    </w:p>
    <w:sectPr w:rsidR="00FC693F" w:rsidRPr="0006063C" w:rsidSect="00034616">
      <w:footerReference w:type="default" r:id="rId9"/>
      <w:pgSz w:w="12240" w:h="15840"/>
      <w:pgMar w:top="893" w:right="1080" w:bottom="893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WRRA Case 105 | 1.0.0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NanumGothic" w:hAnsi="NanumGothic" w:eastAsia="Nanum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="NanumGothic" w:hAnsi="NanumGothic" w:eastAsia="NanumGothi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NanumGothic" w:hAnsi="NanumGothic" w:eastAsia="Nanum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NanumGothic" w:hAnsi="NanumGothic" w:eastAsia="NanumGothic"/>
      <w:color w:val="000000"/>
      <w:spacing w:val="5"/>
      <w:kern w:val="28"/>
      <w:sz w:val="3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NanumGothic" w:hAnsi="NanumGothic" w:eastAsia="NanumGothi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Wonsik-Choi-janefather/wrra-prime-parts-rendering/tree/main/case_studies/address_105/v1_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WRRA Prime Parts Address 105 Case Study KO</dc:title>
  <dc:subject>Finite prime-parts assembly of address 105 with a shared baryon and energy ledger</dc:subject>
  <dc:creator>Wonsik Choi</dc:creator>
  <cp:keywords>WRRA, prime parts, address 105, finite assembly, nucleon readout, common source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