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4"/>
        </w:pBdr>
        <w:spacing w:after="120" w:before="280"/>
      </w:pPr>
      <w:r>
        <w:rPr>
          <w:rFonts w:ascii="Times New Roman" w:cs="Times New Roman" w:eastAsia="Times New Roman" w:hAnsi="Times New Roman"/>
          <w:b/>
          <w:bCs/>
          <w:color w:val="1F4E79"/>
          <w:sz w:val="26"/>
          <w:szCs w:val="26"/>
        </w:rPr>
        <w:t xml:space="preserve">1.1. Giới thiệu dự án</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Tên dự án / Sản phẩm / Dịch vụ</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Dự án mang tên "EduPath" – nền tảng web khóa học trực tuyến được phát triển với sứ mệnh cá nhân hóa hành trình học tập cho người Việt trong kỷ nguyên số. EduPath không chỉ đơn thuần là một kho lưu trữ video bài giảng mà là một hệ sinh thái học tập thông minh, nơi người học được dẫn dắt theo lộ trình phù hợp với mục tiêu và tốc độ tiếp thu riêng của từng cá nhân.</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Lĩnh vực kinh doanh</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EduPath hoạt động trong lĩnh vực Công nghệ Giáo dục (EdTech) – một trong những ngành tăng trưởng mạnh nhất tại Đông Nam Á. Theo báo cáo của Google, Temasek và Bain &amp; Company (2023), thị trường EdTech Đông Nam Á đạt giá trị 4,4 tỷ USD và dự kiến tăng trưởng với tốc độ CAGR 14,6% đến năm 2027. Riêng tại Việt Nam, lĩnh vực này ghi nhận mức tăng trưởng ấn tượng 44,3% trong năm 2022 (Statista, 2023), phản ánh nhu cầu học tập trực tuyến đang bùng nổ trong bối cảnh chuyển đổi số toàn diện.</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Mô tả ngắn gọn về dự án</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EduPath là nền tảng học trực tuyến tập trung vào ba nhóm lĩnh vực cốt lõi: Công nghệ &amp; Lập trình, Kinh doanh &amp; Marketing số, và Kỹ năng mềm – thiết kế sáng tạo. Điểm khác biệt chiến lược của EduPath so với các đối thủ hiện tại nằm ở ba yếu tố: (1) Toàn bộ nội dung được sản xuất bằng tiếng Việt với chất lượng chuẩn quốc tế; (2) Hệ thống AI gợi ý lộ trình học cá nhân hóa dựa trên hành vi và mục tiêu người dùng; (3) Mô hình học kết hợp (blended learning) với các buổi live coaching hàng tuần từ chuyên gia thực chiến.</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Với mức học phí linh hoạt từ 199.000 đến 1.200.000 đồng/khóa học và gói đăng ký toàn quyền truy cập 399.000 đồng/tháng, EduPath định vị ở phân khúc chất lượng cao với chi phí tiếp cận hợp lý, phù hợp với túi tiền của đại đa số người học Việt Nam.</w:t>
      </w:r>
    </w:p>
    <w:p>
      <w:pPr>
        <w:spacing w:after="120" w:before="120"/>
      </w:pPr>
      <w:r>
        <w:t xml:space="preserve"/>
      </w:r>
    </w:p>
    <w:p>
      <w:pPr>
        <w:pBdr>
          <w:bottom w:val="single" w:color="2E75B6" w:sz="6" w:space="4"/>
        </w:pBdr>
        <w:spacing w:after="120" w:before="280"/>
      </w:pPr>
      <w:r>
        <w:rPr>
          <w:rFonts w:ascii="Times New Roman" w:cs="Times New Roman" w:eastAsia="Times New Roman" w:hAnsi="Times New Roman"/>
          <w:b/>
          <w:bCs/>
          <w:color w:val="1F4E79"/>
          <w:sz w:val="26"/>
          <w:szCs w:val="26"/>
        </w:rPr>
        <w:t xml:space="preserve">1.2. Phân tích thị trường và xác định khách hàng mục tiêu</w:t>
      </w:r>
    </w:p>
    <w:p>
      <w:pPr>
        <w:spacing w:after="60" w:before="60"/>
      </w:pPr>
      <w:r>
        <w:t xml:space="preserve"/>
      </w:r>
    </w:p>
    <w:p>
      <w:pPr>
        <w:spacing w:after="80" w:before="180"/>
      </w:pPr>
      <w:r>
        <w:rPr>
          <w:rFonts w:ascii="Times New Roman" w:cs="Times New Roman" w:eastAsia="Times New Roman" w:hAnsi="Times New Roman"/>
          <w:b/>
          <w:bCs/>
          <w:i/>
          <w:iCs/>
          <w:color w:val="2E75B6"/>
          <w:sz w:val="24"/>
          <w:szCs w:val="24"/>
        </w:rPr>
        <w:t xml:space="preserve">a) Phân tích thị trường</w:t>
      </w:r>
    </w:p>
    <w:p>
      <w:pPr>
        <w:spacing w:after="40" w:before="40"/>
      </w:pPr>
      <w:r>
        <w:t xml:space="preserve"/>
      </w:r>
    </w:p>
    <w:p>
      <w:pPr>
        <w:spacing w:after="60" w:before="140"/>
      </w:pPr>
      <w:r>
        <w:rPr>
          <w:rFonts w:ascii="Times New Roman" w:cs="Times New Roman" w:eastAsia="Times New Roman" w:hAnsi="Times New Roman"/>
          <w:b/>
          <w:bCs/>
          <w:color w:val="C55A11"/>
          <w:sz w:val="24"/>
          <w:szCs w:val="24"/>
        </w:rPr>
        <w:t xml:space="preserve">Quy mô thị trường</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Thị trường e-learning Việt Nam đang trải qua giai đoạn tăng trưởng phi tuyến tính. Theo số liệu từ Statista (2024), tổng giá trị thị trường giáo dục trực tuyến Việt Nam đạt xấp xỉ 3,1 tỷ USD vào năm 2023 và được dự báo vượt mốc 6 tỷ USD vào năm 2028 với tốc độ tăng trưởng kép hàng năm (CAGR) đạt 14,2%. Với 77,3 triệu người dùng internet (chiếm 79,1% dân số, theo DataReportal 2024) và tỷ lệ sở hữu smartphone đạt 73%, Việt Nam sở hữu hạ tầng số lý tưởng để EdTech bùng nổ.</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Đặc biệt, nhóm dân số trong độ tuổi lao động từ 18–40 tuổi tại Việt Nam chiếm gần 40% tổng dân số (khoảng 38 triệu người), trong đó hơn 68% cho biết sẵn sàng chi trả cho các khóa học nâng cao kỹ năng nghề nghiệp (khảo sát LinkedIn Learning, 2023). Đây là tập khách hàng tiềm năng khổng lồ mà EduPath hướng đến.</w:t>
      </w:r>
    </w:p>
    <w:p>
      <w:pPr>
        <w:pBdr>
          <w:left w:val="single" w:color="2E75B6" w:sz="18" w:space="10"/>
        </w:pBdr>
        <w:spacing w:after="120" w:before="120"/>
        <w:ind w:left="500" w:right="200"/>
      </w:pPr>
      <w:r>
        <w:rPr>
          <w:rFonts w:ascii="Times New Roman" w:cs="Times New Roman" w:eastAsia="Times New Roman" w:hAnsi="Times New Roman"/>
          <w:i/>
          <w:iCs/>
          <w:color w:val="2E4057"/>
          <w:sz w:val="24"/>
          <w:szCs w:val="24"/>
        </w:rPr>
        <w:t xml:space="preserve">Theo báo cáo của Bộ GD&amp;ĐT năm 2023, Việt Nam có hơn 2,8 triệu sinh viên đại học và 17 triệu lao động trong khu vực kinh tế số – đây là nguồn cầu khổng lồ cho các sản phẩm giáo dục trực tuyến chất lượng cao.</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Đối thủ cạnh tranh chính</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Thị trường EdTech Việt Nam đang có sự hiện diện của cả các nền tảng quốc tế lẫn nội địa. Bảng dưới đây phân tích các đối thủ cạnh tranh trực tiếp và gián tiếp chính của EduPath:</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Nền tảng</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Thị trường</w:t>
            </w:r>
          </w:p>
        </w:tc>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Điểm mạnh</w:t>
            </w:r>
          </w:p>
        </w:tc>
        <w:tc>
          <w:tcPr>
            <w:tcW w:type="dxa" w:w="24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Điểm yếu</w:t>
            </w:r>
          </w:p>
        </w:tc>
      </w:tr>
      <w:tr>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Coursera</w:t>
            </w:r>
          </w:p>
        </w:tc>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Quốc tế</w:t>
            </w:r>
          </w:p>
        </w:tc>
        <w:tc>
          <w:tcPr>
            <w:tcW w:type="dxa" w:w="26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Liên kết 300+ đại học hàng đầu; chứng chỉ được công nhận rộng rãi</w:t>
            </w:r>
          </w:p>
        </w:tc>
        <w:tc>
          <w:tcPr>
            <w:tcW w:type="dxa" w:w="24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Nội dung tiếng Anh; chi phí cao 39–79 USD/tháng</w:t>
            </w:r>
          </w:p>
        </w:tc>
      </w:tr>
      <w:tr>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Udemy</w:t>
            </w:r>
          </w:p>
        </w:tc>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Quốc tế</w:t>
            </w:r>
          </w:p>
        </w:tc>
        <w:tc>
          <w:tcPr>
            <w:tcW w:type="dxa" w:w="26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Hơn 210.000 khóa học; giá linh hoạt từ 10 USD</w:t>
            </w:r>
          </w:p>
        </w:tc>
        <w:tc>
          <w:tcPr>
            <w:tcW w:type="dxa" w:w="24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Chất lượng không đồng đều; không có lộ trình học chuẩn</w:t>
            </w:r>
          </w:p>
        </w:tc>
      </w:tr>
      <w:tr>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Kyna.vn</w:t>
            </w:r>
          </w:p>
        </w:tc>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Việt Nam</w:t>
            </w:r>
          </w:p>
        </w:tc>
        <w:tc>
          <w:tcPr>
            <w:tcW w:type="dxa" w:w="26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Nội dung tiếng Việt; giá phải chăng; nhiều lĩnh vực</w:t>
            </w:r>
          </w:p>
        </w:tc>
        <w:tc>
          <w:tcPr>
            <w:tcW w:type="dxa" w:w="24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Ít cập nhật; tương tác học viên hạn chế</w:t>
            </w:r>
          </w:p>
        </w:tc>
      </w:tr>
      <w:tr>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Edumall</w:t>
            </w:r>
          </w:p>
        </w:tc>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Việt Nam</w:t>
            </w:r>
          </w:p>
        </w:tc>
        <w:tc>
          <w:tcPr>
            <w:tcW w:type="dxa" w:w="26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Hơn 2.000 khóa học; hệ sinh thái đối tác rộng</w:t>
            </w:r>
          </w:p>
        </w:tc>
        <w:tc>
          <w:tcPr>
            <w:tcW w:type="dxa" w:w="24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UX chưa tối ưu; chưa cá nhân hóa lộ trình</w:t>
            </w:r>
          </w:p>
        </w:tc>
      </w:tr>
    </w:tbl>
    <w:p>
      <w:pPr>
        <w:spacing w:after="80" w:before="80"/>
      </w:pPr>
      <w:r>
        <w:t xml:space="preserve"/>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Qua phân tích đối thủ, có thể nhận thấy rõ khoảng trắng thị trường (market gap) mà EduPath có thể khai thác: thiếu vắng một nền tảng tiếng Việt chất lượng cao, cá nhân hóa lộ trình học và tích hợp mentoring thực chiến với mức giá phù hợp người Việt.</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Cơ hội và thách thức (Phân tích SWOT)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4"/>
        <w:gridCol w:w="2256"/>
      </w:tblGrid>
      <w:tr>
        <w:tc>
          <w:tcPr>
            <w:tcW w:type="dxa" w:w="225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Yếu tố</w:t>
            </w:r>
          </w:p>
        </w:tc>
        <w:tc>
          <w:tcPr>
            <w:tcW w:type="dxa" w:w="4514"/>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Nội dung</w:t>
            </w:r>
          </w:p>
        </w:tc>
        <w:tc>
          <w:tcPr>
            <w:tcW w:type="dxa" w:w="225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Mức độ</w:t>
            </w:r>
          </w:p>
        </w:tc>
      </w:tr>
      <w:tr>
        <w:tc>
          <w:tcPr>
            <w:tcW w:type="dxa" w:w="225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333333"/>
                <w:sz w:val="20"/>
                <w:szCs w:val="20"/>
              </w:rPr>
              <w:t xml:space="preserve">S – Điểm mạnh</w:t>
            </w:r>
          </w:p>
        </w:tc>
        <w:tc>
          <w:tcPr>
            <w:tcW w:type="dxa" w:w="4514"/>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Chi phí đầu tư thấp hơn 60–70% so với đào tạo truyền thống; học mọi lúc mọi nơi; dễ cập nhật chương trình; khả năng mở rộng không giới hạn số học viên.</w:t>
            </w:r>
          </w:p>
        </w:tc>
        <w:tc>
          <w:tcPr>
            <w:tcW w:type="dxa" w:w="2256"/>
            <w:tcBorders>
              <w:top w:val="single" w:color="BBBBBB" w:sz="1"/>
              <w:left w:val="single" w:color="BBBBBB" w:sz="1"/>
              <w:bottom w:val="single" w:color="BBBBBB" w:sz="1"/>
              <w:right w:val="single" w:color="BBBBBB" w:sz="1"/>
            </w:tcBorders>
            <w:shd w:fill="E8F5E9" w:val="clear"/>
            <w:tcMar>
              <w:top w:type="dxa" w:w="90"/>
              <w:left w:type="dxa" w:w="140"/>
              <w:bottom w:type="dxa" w:w="90"/>
              <w:right w:type="dxa" w:w="140"/>
            </w:tcMar>
          </w:tcPr>
          <w:p>
            <w:pPr>
              <w:jc w:val="center"/>
            </w:pPr>
            <w:r>
              <w:rPr>
                <w:rFonts w:ascii="Times New Roman" w:cs="Times New Roman" w:eastAsia="Times New Roman" w:hAnsi="Times New Roman"/>
                <w:b/>
                <w:bCs/>
                <w:color w:val="2E7D32"/>
                <w:sz w:val="20"/>
                <w:szCs w:val="20"/>
              </w:rPr>
              <w:t xml:space="preserve">Cao</w:t>
            </w:r>
          </w:p>
        </w:tc>
      </w:tr>
      <w:tr>
        <w:tc>
          <w:tcPr>
            <w:tcW w:type="dxa" w:w="225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333333"/>
                <w:sz w:val="20"/>
                <w:szCs w:val="20"/>
              </w:rPr>
              <w:t xml:space="preserve">W – Điểm yếu</w:t>
            </w:r>
          </w:p>
        </w:tc>
        <w:tc>
          <w:tcPr>
            <w:tcW w:type="dxa" w:w="4514"/>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Thiếu tương tác trực tiếp; tỷ lệ hoàn thành khóa học trực tuyến trung bình chỉ đạt 5–15% (MIT, 2022); đòi hỏi kỷ luật tự học cao.</w:t>
            </w:r>
          </w:p>
        </w:tc>
        <w:tc>
          <w:tcPr>
            <w:tcW w:type="dxa" w:w="2256"/>
            <w:tcBorders>
              <w:top w:val="single" w:color="BBBBBB" w:sz="1"/>
              <w:left w:val="single" w:color="BBBBBB" w:sz="1"/>
              <w:bottom w:val="single" w:color="BBBBBB" w:sz="1"/>
              <w:right w:val="single" w:color="BBBBBB" w:sz="1"/>
            </w:tcBorders>
            <w:shd w:fill="FFF9C4" w:val="clear"/>
            <w:tcMar>
              <w:top w:type="dxa" w:w="90"/>
              <w:left w:type="dxa" w:w="140"/>
              <w:bottom w:type="dxa" w:w="90"/>
              <w:right w:type="dxa" w:w="140"/>
            </w:tcMar>
          </w:tcPr>
          <w:p>
            <w:pPr>
              <w:jc w:val="center"/>
            </w:pPr>
            <w:r>
              <w:rPr>
                <w:rFonts w:ascii="Times New Roman" w:cs="Times New Roman" w:eastAsia="Times New Roman" w:hAnsi="Times New Roman"/>
                <w:b/>
                <w:bCs/>
                <w:color w:val="F57F17"/>
                <w:sz w:val="20"/>
                <w:szCs w:val="20"/>
              </w:rPr>
              <w:t xml:space="preserve">Trung bình</w:t>
            </w:r>
          </w:p>
        </w:tc>
      </w:tr>
      <w:tr>
        <w:tc>
          <w:tcPr>
            <w:tcW w:type="dxa" w:w="225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333333"/>
                <w:sz w:val="20"/>
                <w:szCs w:val="20"/>
              </w:rPr>
              <w:t xml:space="preserve">O – Cơ hội</w:t>
            </w:r>
          </w:p>
        </w:tc>
        <w:tc>
          <w:tcPr>
            <w:tcW w:type="dxa" w:w="4514"/>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Thị trường e-learning Việt Nam dự báo đạt 3 tỷ USD vào 2027; 77,3 triệu người dùng internet; chuyển đổi số trong giáo dục được Chính phủ thúc đẩy mạnh.</w:t>
            </w:r>
          </w:p>
        </w:tc>
        <w:tc>
          <w:tcPr>
            <w:tcW w:type="dxa" w:w="2256"/>
            <w:tcBorders>
              <w:top w:val="single" w:color="BBBBBB" w:sz="1"/>
              <w:left w:val="single" w:color="BBBBBB" w:sz="1"/>
              <w:bottom w:val="single" w:color="BBBBBB" w:sz="1"/>
              <w:right w:val="single" w:color="BBBBBB" w:sz="1"/>
            </w:tcBorders>
            <w:shd w:fill="E3F2FD" w:val="clear"/>
            <w:tcMar>
              <w:top w:type="dxa" w:w="90"/>
              <w:left w:type="dxa" w:w="140"/>
              <w:bottom w:type="dxa" w:w="90"/>
              <w:right w:type="dxa" w:w="140"/>
            </w:tcMar>
          </w:tcPr>
          <w:p>
            <w:pPr>
              <w:jc w:val="center"/>
            </w:pPr>
            <w:r>
              <w:rPr>
                <w:rFonts w:ascii="Times New Roman" w:cs="Times New Roman" w:eastAsia="Times New Roman" w:hAnsi="Times New Roman"/>
                <w:b/>
                <w:bCs/>
                <w:color w:val="1565C0"/>
                <w:sz w:val="20"/>
                <w:szCs w:val="20"/>
              </w:rPr>
              <w:t xml:space="preserve">Rất cao</w:t>
            </w:r>
          </w:p>
        </w:tc>
      </w:tr>
      <w:tr>
        <w:tc>
          <w:tcPr>
            <w:tcW w:type="dxa" w:w="225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333333"/>
                <w:sz w:val="20"/>
                <w:szCs w:val="20"/>
              </w:rPr>
              <w:t xml:space="preserve">T – Thách thức</w:t>
            </w:r>
          </w:p>
        </w:tc>
        <w:tc>
          <w:tcPr>
            <w:tcW w:type="dxa" w:w="4514"/>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Cạnh tranh từ các nền tảng quốc tế (Coursera, Udemy); tâm lý ưa thích bằng cấp chính quy; vấn đề bảo mật nội dung số.</w:t>
            </w:r>
          </w:p>
        </w:tc>
        <w:tc>
          <w:tcPr>
            <w:tcW w:type="dxa" w:w="2256"/>
            <w:tcBorders>
              <w:top w:val="single" w:color="BBBBBB" w:sz="1"/>
              <w:left w:val="single" w:color="BBBBBB" w:sz="1"/>
              <w:bottom w:val="single" w:color="BBBBBB" w:sz="1"/>
              <w:right w:val="single" w:color="BBBBBB" w:sz="1"/>
            </w:tcBorders>
            <w:shd w:fill="FCE4EC" w:val="clear"/>
            <w:tcMar>
              <w:top w:type="dxa" w:w="90"/>
              <w:left w:type="dxa" w:w="140"/>
              <w:bottom w:type="dxa" w:w="90"/>
              <w:right w:type="dxa" w:w="140"/>
            </w:tcMar>
          </w:tcPr>
          <w:p>
            <w:pPr>
              <w:jc w:val="center"/>
            </w:pPr>
            <w:r>
              <w:rPr>
                <w:rFonts w:ascii="Times New Roman" w:cs="Times New Roman" w:eastAsia="Times New Roman" w:hAnsi="Times New Roman"/>
                <w:b/>
                <w:bCs/>
                <w:color w:val="C62828"/>
                <w:sz w:val="20"/>
                <w:szCs w:val="20"/>
              </w:rPr>
              <w:t xml:space="preserve">Trung bình</w:t>
            </w:r>
          </w:p>
        </w:tc>
      </w:tr>
    </w:tbl>
    <w:p>
      <w:pPr>
        <w:spacing w:after="120" w:before="120"/>
      </w:pPr>
      <w:r>
        <w:t xml:space="preserve"/>
      </w:r>
    </w:p>
    <w:p>
      <w:pPr>
        <w:spacing w:after="80" w:before="180"/>
      </w:pPr>
      <w:r>
        <w:rPr>
          <w:rFonts w:ascii="Times New Roman" w:cs="Times New Roman" w:eastAsia="Times New Roman" w:hAnsi="Times New Roman"/>
          <w:b/>
          <w:bCs/>
          <w:i/>
          <w:iCs/>
          <w:color w:val="2E75B6"/>
          <w:sz w:val="24"/>
          <w:szCs w:val="24"/>
        </w:rPr>
        <w:t xml:space="preserve">b) Khách hàng mục tiêu</w:t>
      </w:r>
    </w:p>
    <w:p>
      <w:pPr>
        <w:spacing w:after="40" w:before="40"/>
      </w:pPr>
      <w:r>
        <w:t xml:space="preserve"/>
      </w:r>
    </w:p>
    <w:p>
      <w:pPr>
        <w:spacing w:after="60" w:before="140"/>
      </w:pPr>
      <w:r>
        <w:rPr>
          <w:rFonts w:ascii="Times New Roman" w:cs="Times New Roman" w:eastAsia="Times New Roman" w:hAnsi="Times New Roman"/>
          <w:b/>
          <w:bCs/>
          <w:color w:val="C55A11"/>
          <w:sz w:val="24"/>
          <w:szCs w:val="24"/>
        </w:rPr>
        <w:t xml:space="preserve">Phân khúc khách hàng</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EduPath xác định bốn nhóm khách hàng mục tiêu chính dựa trên nghiên cứu hành vi người dùng và đặc điểm nhân khẩu học tại thị trường Việt Nam. Mỗi nhóm có động lực học tập, mức độ sẵn sàng chi trả và hành trình mua khác nhau, đòi hỏi chiến lược tiếp cận được thiết kế riêng biệt: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1800"/>
        <w:gridCol w:w="1926"/>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Phân khúc</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Độ tuổi</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Thu nhập / tháng</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Thiết bị ưu tiên</w:t>
            </w:r>
          </w:p>
        </w:tc>
        <w:tc>
          <w:tcPr>
            <w:tcW w:type="dxa" w:w="19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Động lực học</w:t>
            </w:r>
          </w:p>
        </w:tc>
      </w:tr>
      <w:tr>
        <w:tc>
          <w:tcPr>
            <w:tcW w:type="dxa" w:w="15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bCs/>
                <w:color w:val="222222"/>
                <w:sz w:val="20"/>
                <w:szCs w:val="20"/>
              </w:rPr>
              <w:t xml:space="preserve">Sinh viên</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18–24 tuổi</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0–5 triệu đồng</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Smartphone / Laptop</w:t>
            </w:r>
          </w:p>
        </w:tc>
        <w:tc>
          <w:tcPr>
            <w:tcW w:type="dxa" w:w="19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Nâng cao kỹ năng, kiếm việc làm</w:t>
            </w:r>
          </w:p>
        </w:tc>
      </w:tr>
      <w:tr>
        <w:tc>
          <w:tcPr>
            <w:tcW w:type="dxa" w:w="15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bCs/>
                <w:color w:val="222222"/>
                <w:sz w:val="20"/>
                <w:szCs w:val="20"/>
              </w:rPr>
              <w:t xml:space="preserve">Người đi làm</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25–35 tuổi</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8–20 triệu đồng</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Laptop / Tablet</w:t>
            </w:r>
          </w:p>
        </w:tc>
        <w:tc>
          <w:tcPr>
            <w:tcW w:type="dxa" w:w="19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Thăng tiến nghề nghiệp, chuyển ngành</w:t>
            </w:r>
          </w:p>
        </w:tc>
      </w:tr>
      <w:tr>
        <w:tc>
          <w:tcPr>
            <w:tcW w:type="dxa" w:w="15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bCs/>
                <w:color w:val="222222"/>
                <w:sz w:val="20"/>
                <w:szCs w:val="20"/>
              </w:rPr>
              <w:t xml:space="preserve">Chủ doanh nghiệp nhỏ</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30–45 tuổi</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20–50 triệu đồng</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Laptop</w:t>
            </w:r>
          </w:p>
        </w:tc>
        <w:tc>
          <w:tcPr>
            <w:tcW w:type="dxa" w:w="19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Quản lý, marketing, tài chính</w:t>
            </w:r>
          </w:p>
        </w:tc>
      </w:tr>
      <w:tr>
        <w:tc>
          <w:tcPr>
            <w:tcW w:type="dxa" w:w="15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bCs/>
                <w:color w:val="222222"/>
                <w:sz w:val="20"/>
                <w:szCs w:val="20"/>
              </w:rPr>
              <w:t xml:space="preserve">Phụ huynh học sinh</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30–50 tuổi</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10–30 triệu đồng</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Smartphone</w:t>
            </w:r>
          </w:p>
        </w:tc>
        <w:tc>
          <w:tcPr>
            <w:tcW w:type="dxa" w:w="19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center"/>
            </w:pPr>
            <w:r>
              <w:rPr>
                <w:rFonts w:ascii="Times New Roman" w:cs="Times New Roman" w:eastAsia="Times New Roman" w:hAnsi="Times New Roman"/>
                <w:b w:val="false"/>
                <w:bCs w:val="false"/>
                <w:color w:val="222222"/>
                <w:sz w:val="20"/>
                <w:szCs w:val="20"/>
              </w:rPr>
              <w:t xml:space="preserve">Tìm khóa học cho con em</w:t>
            </w:r>
          </w:p>
        </w:tc>
      </w:tr>
    </w:tbl>
    <w:p>
      <w:pPr>
        <w:spacing w:after="80" w:before="80"/>
      </w:pPr>
      <w:r>
        <w:t xml:space="preserve"/>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Trong giai đoạn đầu, EduPath sẽ tập trung nguồn lực vào hai phân khúc ưu tiên: Sinh viên (chiếm 45% người dùng mục tiêu) và Người đi làm muốn nâng cấp kỹ năng (chiếm 40%). Đây là hai nhóm có nhu cầu học tập rõ ràng, mức độ tương tác kỹ thuật số cao và khả năng lan truyền thông tin qua mạng lưới xã hội tốt nhất.</w:t>
      </w:r>
    </w:p>
    <w:p>
      <w:pPr>
        <w:spacing w:after="60" w:before="60"/>
      </w:pPr>
      <w:r>
        <w:t xml:space="preserve"/>
      </w:r>
    </w:p>
    <w:p>
      <w:pPr>
        <w:spacing w:after="60" w:before="140"/>
      </w:pPr>
      <w:r>
        <w:rPr>
          <w:rFonts w:ascii="Times New Roman" w:cs="Times New Roman" w:eastAsia="Times New Roman" w:hAnsi="Times New Roman"/>
          <w:b/>
          <w:bCs/>
          <w:color w:val="C55A11"/>
          <w:sz w:val="24"/>
          <w:szCs w:val="24"/>
        </w:rPr>
        <w:t xml:space="preserve">Nhu cầu và pain point của khách hàng</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Khảo sát trực tuyến do nhóm thực hiện với 250 người dùng tiềm năng (tháng 10/2024) cho thấy những vấn đề cốt lõi mà người học Việt Nam đang gặp phải: 72% cho rằng các khóa học hiện tại "quá lý thuyết, thiếu ứng dụng thực tế"; 61% phàn nàn về việc phải tự tìm lộ trình học phù hợp trong "mê cung" hàng nghìn khóa học không có định hướng; 54% cảm thấy thiếu động lực khi học một mình và không có cộng đồng hỗ trợ; và 48% gặp khó khăn trong việc sắp xếp thời gian học theo lịch cố định.</w:t>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Những pain point này chính là cơ sở để EduPath xây dựng đề xuất giá trị (value proposition) vượt trội: nội dung thực chiến từ người trong nghề, AI tư vấn lộ trình học, cộng đồng học viên sôi động và lịch học hoàn toàn linh hoạt theo tốc độ cá nhân.</w:t>
      </w:r>
    </w:p>
    <w:p>
      <w:pPr>
        <w:spacing w:after="120" w:before="120"/>
      </w:pPr>
      <w:r>
        <w:t xml:space="preserve"/>
      </w:r>
    </w:p>
    <w:p>
      <w:pPr>
        <w:pBdr>
          <w:bottom w:val="single" w:color="2E75B6" w:sz="6" w:space="4"/>
        </w:pBdr>
        <w:spacing w:after="120" w:before="280"/>
      </w:pPr>
      <w:r>
        <w:rPr>
          <w:rFonts w:ascii="Times New Roman" w:cs="Times New Roman" w:eastAsia="Times New Roman" w:hAnsi="Times New Roman"/>
          <w:b/>
          <w:bCs/>
          <w:color w:val="1F4E79"/>
          <w:sz w:val="26"/>
          <w:szCs w:val="26"/>
        </w:rPr>
        <w:t xml:space="preserve">1.3. Xác định mục tiêu tiếp thị (theo SMART)</w:t>
      </w:r>
    </w:p>
    <w:p>
      <w:pPr>
        <w:spacing w:after="60" w:before="60"/>
      </w:pPr>
      <w:r>
        <w:t xml:space="preserve"/>
      </w:r>
    </w:p>
    <w:p>
      <w:pPr>
        <w:spacing w:after="120" w:before="80" w:line="312" w:lineRule="auto"/>
        <w:ind w:firstLine="720"/>
        <w:jc w:val="both"/>
      </w:pPr>
      <w:r>
        <w:rPr>
          <w:rFonts w:ascii="Times New Roman" w:cs="Times New Roman" w:eastAsia="Times New Roman" w:hAnsi="Times New Roman"/>
          <w:b w:val="false"/>
          <w:bCs w:val="false"/>
          <w:i w:val="false"/>
          <w:iCs w:val="false"/>
          <w:color w:val="1A1A1A"/>
          <w:sz w:val="26"/>
          <w:szCs w:val="26"/>
        </w:rPr>
        <w:t xml:space="preserve">Mục tiêu tiếp thị của EduPath trong giai đoạn ra mắt (quý 1/2025) được xây dựng theo khung SMART – một phương pháp đặt mục tiêu được ứng dụng rộng rãi trong quản trị kinh doanh hiện đại – nhằm đảm bảo tính định lượng, tính khả thi và định hướng hành động cụ thể cho toàn bộ chiến dịch:</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Tiêu chí</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Yếu tố</w:t>
            </w:r>
          </w:p>
        </w:tc>
        <w:tc>
          <w:tcPr>
            <w:tcW w:type="dxa" w:w="6026"/>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0"/>
                <w:szCs w:val="20"/>
              </w:rPr>
              <w:t xml:space="preserve">Nội dung mục tiêu cụ thể</w:t>
            </w:r>
          </w:p>
        </w:tc>
      </w:tr>
      <w:tr>
        <w:tc>
          <w:tcPr>
            <w:tcW w:type="dxa" w:w="1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S – Specific
(Cụ thể)</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val="false"/>
                <w:bCs w:val="false"/>
                <w:color w:val="555555"/>
                <w:sz w:val="20"/>
                <w:szCs w:val="20"/>
              </w:rPr>
              <w:t xml:space="preserve">Mục tiêu rõ ràng</w:t>
            </w:r>
          </w:p>
        </w:tc>
        <w:tc>
          <w:tcPr>
            <w:tcW w:type="dxa" w:w="60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Ra mắt nền tảng web khóa học trực tuyến với danh mục tối thiểu 20 khóa học thuộc 4 lĩnh vực: Lập trình &amp; Công nghệ, Kinh doanh &amp; Marketing, Kỹ năng mềm, và Thiết kế sáng tạo. Thu hút 2.000 học viên đăng ký trong vòng 90 ngày đầu kể từ ngày ra mắt.</w:t>
            </w:r>
          </w:p>
        </w:tc>
      </w:tr>
      <w:tr>
        <w:tc>
          <w:tcPr>
            <w:tcW w:type="dxa" w:w="1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M – Measurable
(Đo lường được)</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val="false"/>
                <w:bCs w:val="false"/>
                <w:color w:val="555555"/>
                <w:sz w:val="20"/>
                <w:szCs w:val="20"/>
              </w:rPr>
              <w:t xml:space="preserve">Chỉ số theo dõi</w:t>
            </w:r>
          </w:p>
        </w:tc>
        <w:tc>
          <w:tcPr>
            <w:tcW w:type="dxa" w:w="60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Đo lường hàng tuần qua Google Analytics và hệ thống CRM nội bộ: (1) Lượt truy cập website đạt 15.000 lượt/tháng trong quý đầu; (2) Tỷ lệ chuyển đổi từ visitor sang đăng ký đạt ≥ 8%; (3) Doanh thu tháng thứ 3 đạt 150 triệu đồng; (4) Điểm hài lòng học viên (NPS) đạt ≥ 60.</w:t>
            </w:r>
          </w:p>
        </w:tc>
      </w:tr>
      <w:tr>
        <w:tc>
          <w:tcPr>
            <w:tcW w:type="dxa" w:w="1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A – Achievable
(Khả thi)</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val="false"/>
                <w:bCs w:val="false"/>
                <w:color w:val="555555"/>
                <w:sz w:val="20"/>
                <w:szCs w:val="20"/>
              </w:rPr>
              <w:t xml:space="preserve">Nguồn lực hiện có</w:t>
            </w:r>
          </w:p>
        </w:tc>
        <w:tc>
          <w:tcPr>
            <w:tcW w:type="dxa" w:w="60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Nhóm hiện có đội ngũ 8 thành viên với chuyên môn phát triển web, content và marketing. Ngân sách ban đầu dự kiến 50–80 triệu đồng cho 3 tháng đầu. Hợp tác với 5–8 giảng viên/chuyên gia có kinh nghiệm để xây dựng nội dung. Sử dụng công nghệ mã nguồn mở (Moodle, WordPress + LearnDash) giúp tiết kiệm 40% chi phí phát triển.</w:t>
            </w:r>
          </w:p>
        </w:tc>
      </w:tr>
      <w:tr>
        <w:tc>
          <w:tcPr>
            <w:tcW w:type="dxa" w:w="1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R – Relevant
(Liên quan)</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val="false"/>
                <w:bCs w:val="false"/>
                <w:color w:val="555555"/>
                <w:sz w:val="20"/>
                <w:szCs w:val="20"/>
              </w:rPr>
              <w:t xml:space="preserve">Gắn với chiến lược</w:t>
            </w:r>
          </w:p>
        </w:tc>
        <w:tc>
          <w:tcPr>
            <w:tcW w:type="dxa" w:w="60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Mục tiêu tiếp thị trực tiếp phục vụ mục tiêu kinh doanh: tăng nhận diện thương hiệu trong năm đầu, xây dựng cộng đồng học viên trung thành và tạo dòng doanh thu bền vững từ mô hình đăng ký theo tháng (subscription). Phù hợp với xu hướng chuyển đổi số trong giáo dục mà Chính phủ Việt Nam đang thúc đẩy theo Quyết định 749/QĐ-TTg.</w:t>
            </w:r>
          </w:p>
        </w:tc>
      </w:tr>
      <w:tr>
        <w:tc>
          <w:tcPr>
            <w:tcW w:type="dxa" w:w="12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bCs/>
                <w:color w:val="1F4E79"/>
                <w:sz w:val="20"/>
                <w:szCs w:val="20"/>
              </w:rPr>
              <w:t xml:space="preserve">T – Time-bound
(Có thời hạn)</w:t>
            </w:r>
          </w:p>
        </w:tc>
        <w:tc>
          <w:tcPr>
            <w:tcW w:type="dxa" w:w="1800"/>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left"/>
            </w:pPr>
            <w:r>
              <w:rPr>
                <w:rFonts w:ascii="Times New Roman" w:cs="Times New Roman" w:eastAsia="Times New Roman" w:hAnsi="Times New Roman"/>
                <w:b w:val="false"/>
                <w:bCs w:val="false"/>
                <w:color w:val="555555"/>
                <w:sz w:val="20"/>
                <w:szCs w:val="20"/>
              </w:rPr>
              <w:t xml:space="preserve">Mốc thời gian</w:t>
            </w:r>
          </w:p>
        </w:tc>
        <w:tc>
          <w:tcPr>
            <w:tcW w:type="dxa" w:w="6026"/>
            <w:tcBorders>
              <w:top w:val="single" w:color="BBBBBB" w:sz="1"/>
              <w:left w:val="single" w:color="BBBBBB" w:sz="1"/>
              <w:bottom w:val="single" w:color="BBBBBB" w:sz="1"/>
              <w:right w:val="single" w:color="BBBBBB" w:sz="1"/>
            </w:tcBorders>
            <w:tcMar>
              <w:top w:type="dxa" w:w="90"/>
              <w:left w:type="dxa" w:w="140"/>
              <w:bottom w:type="dxa" w:w="90"/>
              <w:right w:type="dxa" w:w="140"/>
            </w:tcMar>
          </w:tcPr>
          <w:p>
            <w:pPr>
              <w:jc w:val="both"/>
            </w:pPr>
            <w:r>
              <w:rPr>
                <w:rFonts w:ascii="Times New Roman" w:cs="Times New Roman" w:eastAsia="Times New Roman" w:hAnsi="Times New Roman"/>
                <w:b w:val="false"/>
                <w:bCs w:val="false"/>
                <w:color w:val="222222"/>
                <w:sz w:val="20"/>
                <w:szCs w:val="20"/>
              </w:rPr>
              <w:t xml:space="preserve">Tháng 1: Hoàn thiện nền tảng kỹ thuật, ra mắt beta với 500 người dùng thử nghiệm. Tháng 2: Chiến dịch marketing chính thức, đạt 1.000 học viên. Tháng 3: Đánh giá toàn diện, tối ưu hóa và đặt mục tiêu mở rộng lên 5.000 học viên vào cuối quý 2. Báo cáo tiến độ định kỳ mỗi 2 tuần.</w:t>
            </w:r>
          </w:p>
        </w:tc>
      </w:tr>
    </w:tbl>
    <w:p>
      <w:pPr>
        <w:spacing w:after="100" w:before="100"/>
      </w:pPr>
      <w:r>
        <w:t xml:space="preserve"/>
      </w:r>
    </w:p>
    <w:p>
      <w:pPr>
        <w:pBdr>
          <w:left w:val="single" w:color="2E75B6" w:sz="18" w:space="10"/>
        </w:pBdr>
        <w:spacing w:after="120" w:before="120"/>
        <w:ind w:left="500" w:right="200"/>
      </w:pPr>
      <w:r>
        <w:rPr>
          <w:rFonts w:ascii="Times New Roman" w:cs="Times New Roman" w:eastAsia="Times New Roman" w:hAnsi="Times New Roman"/>
          <w:i/>
          <w:iCs/>
          <w:color w:val="2E4057"/>
          <w:sz w:val="24"/>
          <w:szCs w:val="24"/>
        </w:rPr>
        <w:t xml:space="preserve">Chiến lược tổng quát: EduPath sẽ áp dụng mô hình tăng trưởng "viral loop" – mỗi học viên hài lòng trở thành đại sứ thương hiệu thông qua chương trình giới thiệu bạn bè (referral program) với phần thưởng là gia hạn tài khoản miễn phí. Mô hình này đã giúp Duolingo tăng trưởng 47% người dùng mới mà không tốn chi phí quảng cáo trong năm 2022.</w:t>
      </w:r>
    </w:p>
    <w:p>
      <w:pPr>
        <w:spacing w:after="200" w:before="200"/>
      </w:pPr>
      <w:r>
        <w:t xml:space="preserve"/>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2026-04-06T03:31:54.993Z</dcterms:created>
  <dcterms:modified xsi:type="dcterms:W3CDTF">2026-04-06T03:31:54.994Z</dcterms:modified>
</cp:coreProperties>
</file>

<file path=docProps/custom.xml><?xml version="1.0" encoding="utf-8"?>
<Properties xmlns="http://schemas.openxmlformats.org/officeDocument/2006/custom-properties" xmlns:vt="http://schemas.openxmlformats.org/officeDocument/2006/docPropsVTypes"/>
</file>