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60" w:before="400"/>
      </w:pPr>
      <w:r>
        <w:rPr>
          <w:rFonts w:ascii="맑은 고딕" w:eastAsia="맑은 고딕" w:hAnsi="맑은 고딕" w:cs="맑은 고딕"/>
          <w:color w:val="666666"/>
          <w:sz w:val="24"/>
          <w:szCs w:val="24"/>
        </w:rPr>
        <w:t>Generative AI: Algorithms and Apps</w:t>
      </w:r>
    </w:p>
    <w:p>
      <w:pPr>
        <w:jc w:val="center"/>
        <w:spacing w:after="100"/>
      </w:pPr>
      <w:r>
        <w:rPr>
          <w:rFonts w:ascii="맑은 고딕" w:eastAsia="맑은 고딕" w:hAnsi="맑은 고딕" w:cs="맑은 고딕"/>
          <w:b/>
          <w:bCs/>
          <w:sz w:val="40"/>
          <w:szCs w:val="40"/>
        </w:rPr>
        <w:t>Project: Diffusion</w:t>
      </w:r>
    </w:p>
    <w:p>
      <w:pPr>
        <w:jc w:val="center"/>
        <w:pBdr>
          <w:bottom w:val="single" w:sz="6" w:space="8" w:color="BBBBBB"/>
        </w:pBdr>
        <w:spacing w:after="500"/>
      </w:pPr>
      <w:r>
        <w:rPr>
          <w:rFonts w:ascii="맑은 고딕" w:eastAsia="맑은 고딕" w:hAnsi="맑은 고딕" w:cs="맑은 고딕"/>
          <w:color w:val="444444"/>
          <w:sz w:val="22"/>
          <w:szCs w:val="22"/>
        </w:rPr>
        <w:t>MNIST DDPM with Classifier-Free Guidance</w:t>
      </w:r>
    </w:p>
    <w:p>
      <w:pPr>
        <w:pStyle w:val="Heading1"/>
        <w:spacing w:after="140" w:before="280"/>
      </w:pPr>
      <w:r>
        <w:rPr>
          <w:rFonts w:ascii="맑은 고딕" w:eastAsia="맑은 고딕" w:hAnsi="맑은 고딕" w:cs="맑은 고딕"/>
          <w:b/>
          <w:bCs/>
        </w:rPr>
        <w:t>1. 개요</w:t>
      </w:r>
    </w:p>
    <w:p>
      <w:pPr>
        <w:spacing w:after="110" w:line="300"/>
      </w:pPr>
      <w:r>
        <w:t>본 프로젝트에서는 MNIST 손글씨 숫자 데이터셋에 대해 ε-추정(epsilon-estimation) 방식의 DDPM(Denoising Diffusion Probabilistic Model)을 구현하고, Classifier-Free Guidance(CFG)를 적용한 조건부 생성을 수행하였다. 무조건부 생성과 조건부 생성을 모두 구현하였으며, 가이던스 강도 γ에 대한 앨블레이션과 두 가지 탐구 실험(잠재 공간 교란, 인페인팅)을 진행하였다.</w:t>
      </w:r>
    </w:p>
    <w:p>
      <w:pPr>
        <w:pStyle w:val="Heading2"/>
        <w:spacing w:after="140" w:before="280"/>
      </w:pPr>
      <w:r>
        <w:rPr>
          <w:rFonts w:ascii="맑은 고딕" w:eastAsia="맑은 고딕" w:hAnsi="맑은 고딕" w:cs="맑은 고딕"/>
          <w:b/>
          <w:bCs/>
        </w:rPr>
        <w:t>1.1 실험 설정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7160"/>
      </w:tblGrid>
      <w:tr>
        <w:trPr>
          <w:tblHeader/>
        </w:trPr>
        <w:tc>
          <w:tcPr>
            <w:tcW w:w="22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50" w:before="50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항목</w:t>
            </w:r>
          </w:p>
        </w:tc>
        <w:tc>
          <w:tcPr>
            <w:tcW w:w="716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50" w:before="50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설정</w:t>
            </w:r>
          </w:p>
        </w:tc>
      </w:tr>
      <w:tr>
        <w:trPr/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50" w:before="5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9"/>
                <w:szCs w:val="19"/>
              </w:rPr>
              <w:t>확산 스텝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50" w:before="5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9"/>
                <w:szCs w:val="19"/>
              </w:rPr>
              <w:t>T = 200, 선형 β 스케줄 (1e-4 → 0.02)</w:t>
            </w:r>
          </w:p>
        </w:tc>
      </w:tr>
      <w:tr>
        <w:trPr/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50" w:before="5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9"/>
                <w:szCs w:val="19"/>
              </w:rPr>
              <w:t>모델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50" w:before="5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9"/>
                <w:szCs w:val="19"/>
              </w:rPr>
              <w:t>Small U-Net (ch=64), 시간·클래스 임베딩 128차원, AdaGN</w:t>
            </w:r>
          </w:p>
        </w:tc>
      </w:tr>
      <w:tr>
        <w:trPr/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50" w:before="5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9"/>
                <w:szCs w:val="19"/>
              </w:rPr>
              <w:t>학습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50" w:before="5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9"/>
                <w:szCs w:val="19"/>
              </w:rPr>
              <w:t>AdamW, lr = 1e-4, batch = 64, 30 epochs, CFG 손실 사용</w:t>
            </w:r>
          </w:p>
        </w:tc>
      </w:tr>
      <w:tr>
        <w:trPr/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50" w:before="5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9"/>
                <w:szCs w:val="19"/>
              </w:rPr>
              <w:t>안정화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50" w:before="5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9"/>
                <w:szCs w:val="19"/>
              </w:rPr>
              <w:t>EMA (decay = 0.999) — 학습 후 EMA 가중치로 샘플링</w:t>
            </w:r>
          </w:p>
        </w:tc>
      </w:tr>
      <w:tr>
        <w:trPr/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50" w:before="5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9"/>
                <w:szCs w:val="19"/>
              </w:rPr>
              <w:t>환경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50" w:before="5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9"/>
                <w:szCs w:val="19"/>
              </w:rPr>
              <w:t>Google Colab, NVIDIA T4 GPU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eastAsia="맑은 고딕" w:hAnsi="맑은 고딕" w:cs="맑은 고딕"/>
          <w:b/>
          <w:bCs/>
        </w:rPr>
        <w:t>1.2 구현한 함수</w:t>
      </w:r>
    </w:p>
    <w:p>
      <w:pPr>
        <w:spacing w:after="110" w:line="300"/>
      </w:pPr>
      <w:r>
        <w:t>스타터 코드에서 비어 있던 다음 네 함수를 구현하였다.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t>ddpm_loss_epsilon() — 표준 DDPM ε-추정 손실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t>ddpm_loss_cfg() — CFG 학습 손실 (조건부 + 무조건부 두 경로)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t>sample_unconditional() — 무조건부 ancestral 샘플링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t>sample_conditional() — CFG 조건부 샘플링</w:t>
      </w:r>
    </w:p>
    <w:p>
      <w:pPr>
        <w:pStyle w:val="Heading1"/>
        <w:spacing w:after="140" w:before="280"/>
      </w:pPr>
      <w:r>
        <w:rPr>
          <w:rFonts w:ascii="맑은 고딕" w:eastAsia="맑은 고딕" w:hAnsi="맑은 고딕" w:cs="맑은 고딕"/>
          <w:b/>
          <w:bCs/>
        </w:rPr>
        <w:t>2. 구현 내용</w:t>
      </w:r>
    </w:p>
    <w:p>
      <w:pPr>
        <w:pStyle w:val="Heading2"/>
        <w:spacing w:after="140" w:before="280"/>
      </w:pPr>
      <w:r>
        <w:rPr>
          <w:rFonts w:ascii="맑은 고딕" w:eastAsia="맑은 고딕" w:hAnsi="맑은 고딕" w:cs="맑은 고딕"/>
          <w:b/>
          <w:bCs/>
        </w:rPr>
        <w:t>2.1 순방향 확산과 학습 목표</w:t>
      </w:r>
    </w:p>
    <w:p>
      <w:pPr>
        <w:spacing w:after="110" w:line="300"/>
      </w:pPr>
      <w:r>
        <w:t>순방향 확산은 닫힌 형태로 임의의 스텝 t에서 한 번에 계산된다. α_t = 1 − β_t, ᾱ_t = Π α_i 라 할 때:</w:t>
      </w:r>
    </w:p>
    <w:p>
      <w:pPr>
        <w:jc w:val="center"/>
        <w:spacing w:after="160" w:before="120"/>
      </w:pPr>
      <w:r>
        <w:rPr>
          <w:rFonts w:ascii="Consolas" w:eastAsia="Consolas" w:hAnsi="Consolas" w:cs="Consolas"/>
          <w:sz w:val="20"/>
          <w:szCs w:val="20"/>
        </w:rPr>
        <w:t>x_t = √(ᾱ_t) · x₀ + √(1 − ᾱ_t) · ε,    ε ~ N(0, I)</w:t>
      </w:r>
    </w:p>
    <w:p>
      <w:pPr>
        <w:spacing w:after="110" w:line="300"/>
      </w:pPr>
      <w:r>
        <w:t>변분 하한을 정리하면 학습 목표는 단순한 노이즈 회귀로 환원된다. 즉 "임의의 스텝 t에서 x_t에 섞인 노이즈 ε을 맞히는" 문제이며, 이를 MSE로 학습한다.</w:t>
      </w:r>
    </w:p>
    <w:p>
      <w:pPr>
        <w:jc w:val="center"/>
        <w:spacing w:after="160" w:before="120"/>
      </w:pPr>
      <w:r>
        <w:rPr>
          <w:rFonts w:ascii="Consolas" w:eastAsia="Consolas" w:hAnsi="Consolas" w:cs="Consolas"/>
          <w:sz w:val="20"/>
          <w:szCs w:val="20"/>
        </w:rPr>
        <w:t>L_simple = E[ ‖ ε − ε̂_θ(x_t, t, y) ‖² ]</w:t>
      </w:r>
    </w:p>
    <w:p>
      <w:pPr>
        <w:spacing w:after="110" w:line="300"/>
      </w:pPr>
      <w:r>
        <w:t>이것이 ddpm_loss_epsilon()의 구현 내용이다. 회귀 목표가 이미지 x₀가 아니라 노이즈 ε이라는 점이 ε-추정 방식의 핵심이다.</w:t>
      </w:r>
    </w:p>
    <w:p>
      <w:pPr>
        <w:pStyle w:val="Heading2"/>
        <w:spacing w:after="140" w:before="280"/>
      </w:pPr>
      <w:r>
        <w:rPr>
          <w:rFonts w:ascii="맑은 고딕" w:eastAsia="맑은 고딕" w:hAnsi="맑은 고딕" w:cs="맑은 고딕"/>
          <w:b/>
          <w:bCs/>
        </w:rPr>
        <w:t>2.2 CFG 학습 손실</w:t>
      </w:r>
    </w:p>
    <w:p>
      <w:pPr>
        <w:spacing w:after="110" w:line="300"/>
      </w:pPr>
      <w:r>
        <w:t>CFG를 사용하려면 하나의 네트워크가 조건부 예측과 무조건부 예측을 모두 수행할 수 있어야 한다. 이를 위해 동일한 x_t에 대해 실제 라벨 y와 null 라벨(클래스 인덱스 10, "조건 없음")로 각각 forward를 수행하고 두 MSE를 합산하였다.</w:t>
      </w:r>
    </w:p>
    <w:p>
      <w:pPr>
        <w:jc w:val="center"/>
        <w:spacing w:after="160" w:before="120"/>
      </w:pPr>
      <w:r>
        <w:rPr>
          <w:rFonts w:ascii="Consolas" w:eastAsia="Consolas" w:hAnsi="Consolas" w:cs="Consolas"/>
          <w:sz w:val="20"/>
          <w:szCs w:val="20"/>
        </w:rPr>
        <w:t>L_CFG = MSE(ε̂(x_t, t, y), ε) + MSE(ε̂(x_t, t, y_null), ε)</w:t>
      </w:r>
    </w:p>
    <w:p>
      <w:pPr>
        <w:pStyle w:val="Heading2"/>
        <w:spacing w:after="140" w:before="280"/>
      </w:pPr>
      <w:r>
        <w:rPr>
          <w:rFonts w:ascii="맑은 고딕" w:eastAsia="맑은 고딕" w:hAnsi="맑은 고딕" w:cs="맑은 고딕"/>
          <w:b/>
          <w:bCs/>
        </w:rPr>
        <w:t>2.3 역방향 샘플링</w:t>
      </w:r>
    </w:p>
    <w:p>
      <w:pPr>
        <w:spacing w:after="110" w:line="300"/>
      </w:pPr>
      <w:r>
        <w:t>순수 노이즈 x_T ~ N(0, I)에서 시작해 t = T−1부터 0까지 역방향으로 진행한다. 각 스텝에서 네트워크가 예측한 ε̂로부터 사후 분포 p(x_{t−1}|x_t)의 평균과 분산을 구한 뒤 샘플링한다.</w:t>
      </w:r>
    </w:p>
    <w:p>
      <w:pPr>
        <w:jc w:val="center"/>
        <w:spacing w:after="160" w:before="120"/>
      </w:pPr>
      <w:r>
        <w:rPr>
          <w:rFonts w:ascii="Consolas" w:eastAsia="Consolas" w:hAnsi="Consolas" w:cs="Consolas"/>
          <w:sz w:val="20"/>
          <w:szCs w:val="20"/>
        </w:rPr>
        <w:t>μ = ( x_t − (1 − α_t)/√(1 − ᾱ_t) · ε̂ ) / √(α_t)</w:t>
      </w:r>
    </w:p>
    <w:p>
      <w:pPr>
        <w:jc w:val="center"/>
        <w:spacing w:after="160" w:before="120"/>
      </w:pPr>
      <w:r>
        <w:rPr>
          <w:rFonts w:ascii="Consolas" w:eastAsia="Consolas" w:hAnsi="Consolas" w:cs="Consolas"/>
          <w:sz w:val="20"/>
          <w:szCs w:val="20"/>
        </w:rPr>
        <w:t>x_{t−1} = μ + √(β̃_t) · z  (t &gt; 0),    x₀ = μ  (t = 0)</w:t>
      </w:r>
    </w:p>
    <w:p>
      <w:pPr>
        <w:spacing w:after="110" w:line="300"/>
      </w:pPr>
      <w:r>
        <w:t>마지막 스텝(t = 0)에서는 노이즈를 더하지 않고 평균만 사용하여 최종 이미지에 불필요한 잡음이 남지 않도록 하였다.</w:t>
      </w:r>
    </w:p>
    <w:p>
      <w:pPr>
        <w:pStyle w:val="Heading2"/>
        <w:spacing w:after="140" w:before="280"/>
      </w:pPr>
      <w:r>
        <w:rPr>
          <w:rFonts w:ascii="맑은 고딕" w:eastAsia="맑은 고딕" w:hAnsi="맑은 고딕" w:cs="맑은 고딕"/>
          <w:b/>
          <w:bCs/>
        </w:rPr>
        <w:t>2.4 Classifier-Free Guidance 샘플링</w:t>
      </w:r>
    </w:p>
    <w:p>
      <w:pPr>
        <w:spacing w:after="110" w:line="300"/>
      </w:pPr>
      <w:r>
        <w:t>조건부 샘플링에서는 매 스텝 조건부 예측 ε_c와 무조건부 예측 ε_u를 각각 구한 뒤 다음과 같이 결합한다.</w:t>
      </w:r>
    </w:p>
    <w:p>
      <w:pPr>
        <w:jc w:val="center"/>
        <w:spacing w:after="160" w:before="120"/>
      </w:pPr>
      <w:r>
        <w:rPr>
          <w:rFonts w:ascii="Consolas" w:eastAsia="Consolas" w:hAnsi="Consolas" w:cs="Consolas"/>
          <w:sz w:val="20"/>
          <w:szCs w:val="20"/>
        </w:rPr>
        <w:t>ε̂ = (1 + γ) · ε_c − γ · ε_u  =  ε_c + γ · (ε_c − ε_u)</w:t>
      </w:r>
    </w:p>
    <w:p>
      <w:pPr>
        <w:spacing w:after="110" w:line="300"/>
      </w:pPr>
      <w:r>
        <w:t>두 번째 형태에서 알 수 있듯이 (ε_c − ε_u)는 "해당 클래스답게 만드는 방향"의 점수(score) 차이이고, γ는 그 방향으로 얼마나 강하게 외삽할지를 결정하는 계수이다. 확률적으로는 샘플링 분포를 p(x|y)·p(y|x)^γ 형태로 날카롭게 만드는 것에 대응한다.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맑은 고딕" w:eastAsia="맑은 고딕" w:hAnsi="맑은 고딕" w:cs="맑은 고딕"/>
          <w:b/>
          <w:bCs/>
        </w:rPr>
        <w:t>3. 무조건부 생성 결과</w:t>
      </w:r>
    </w:p>
    <w:p>
      <w:pPr>
        <w:jc w:val="center"/>
        <w:spacing w:after="40" w:before="100"/>
      </w:pPr>
      <w:r>
        <w:drawing>
          <wp:inline distT="0" distB="0" distL="0" distR="0">
            <wp:extent cx="3810000" cy="3933825"/>
            <wp:effectExtent l="0" t="0" r="0" b="0"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933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220" w:before="60"/>
      </w:pPr>
      <w:r>
        <w:rPr>
          <w:rFonts w:ascii="맑은 고딕" w:eastAsia="맑은 고딕" w:hAnsi="맑은 고딕" w:cs="맑은 고딕"/>
          <w:i/>
          <w:iCs/>
          <w:color w:val="555555"/>
          <w:sz w:val="18"/>
          <w:szCs w:val="18"/>
        </w:rPr>
        <w:t>그림 1. 무조건부 DDPM 생성 결과 (64 samples)</w:t>
      </w:r>
    </w:p>
    <w:p>
      <w:pPr>
        <w:spacing w:after="110" w:line="300"/>
      </w:pPr>
      <w:r>
        <w:t>0부터 9까지의 숫자가 고르게 생성되었으며 대부분의 샘플은 육안으로 클래스를 식별할 수 있는 수준이다. 다만 획이 뭉개진 blob 형태나 클래스가 모호한 샘플도 일부 관찰된다. 이는 무조건부 생성이 라벨 정보 없이 데이터 전체 분포 p(x)에서 샘플링하기 때문으로, 클래스 경계 부근의 애매한 샘플이 생성되는 것은 자연스러운 현상이다.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맑은 고딕" w:eastAsia="맑은 고딕" w:hAnsi="맑은 고딕" w:cs="맑은 고딕"/>
          <w:b/>
          <w:bCs/>
        </w:rPr>
        <w:t>4. γ 앨블레이션 (Classifier-Free Guidance)</w:t>
      </w:r>
    </w:p>
    <w:p>
      <w:pPr>
        <w:spacing w:after="110" w:line="300"/>
      </w:pPr>
      <w:r>
        <w:t>label = 5로 고정하고 γ ∈ {−1, 0, 1, 2, 3, 4, 5}에 대해 각각 64개의 샘플을 생성하였다. 결합식 ε̂ = (1+γ)ε_c − γε_u 에 따라 γ = −1이면 ε̂ = ε_u (무조건부), γ = 0이면 ε̂ = ε_c (순수 조건부), γ &gt; 0이면 조건 방향으로 외삽된다.</w:t>
      </w:r>
    </w:p>
    <w:tbl>
      <w:tblPr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552700" cy="2638425"/>
                  <wp:effectExtent l="0" t="0" r="0" b="0"/>
                  <wp:docPr id="1026" name="shape1026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00" cy="26384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40"/>
            </w:pPr>
            <w:r>
              <w:rPr>
                <w:rFonts w:ascii="맑은 고딕" w:eastAsia="맑은 고딕" w:hAnsi="맑은 고딕" w:cs="맑은 고딕"/>
                <w:color w:val="555555"/>
                <w:sz w:val="18"/>
                <w:szCs w:val="18"/>
              </w:rPr>
              <w:t>γ = −1 (무조건부와 동일)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552700" cy="2638425"/>
                  <wp:effectExtent l="0" t="0" r="0" b="0"/>
                  <wp:docPr id="1027" name="shape1027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00" cy="26384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40"/>
            </w:pPr>
            <w:r>
              <w:rPr>
                <w:rFonts w:ascii="맑은 고딕" w:eastAsia="맑은 고딕" w:hAnsi="맑은 고딕" w:cs="맑은 고딕"/>
                <w:color w:val="555555"/>
                <w:sz w:val="18"/>
                <w:szCs w:val="18"/>
              </w:rPr>
              <w:t>γ = 0 (순수 조건부)</w:t>
            </w:r>
          </w:p>
        </w:tc>
      </w:tr>
    </w:tbl>
    <w:tbl>
      <w:tblPr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552700" cy="2638425"/>
                  <wp:effectExtent l="0" t="0" r="0" b="0"/>
                  <wp:docPr id="1028" name="shape1028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00" cy="26384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40"/>
            </w:pPr>
            <w:r>
              <w:rPr>
                <w:rFonts w:ascii="맑은 고딕" w:eastAsia="맑은 고딕" w:hAnsi="맑은 고딕" w:cs="맑은 고딕"/>
                <w:color w:val="555555"/>
                <w:sz w:val="18"/>
                <w:szCs w:val="18"/>
              </w:rPr>
              <w:t>γ = 1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552700" cy="2638425"/>
                  <wp:effectExtent l="0" t="0" r="0" b="0"/>
                  <wp:docPr id="1029" name="shape1029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00" cy="26384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40"/>
            </w:pPr>
            <w:r>
              <w:rPr>
                <w:rFonts w:ascii="맑은 고딕" w:eastAsia="맑은 고딕" w:hAnsi="맑은 고딕" w:cs="맑은 고딕"/>
                <w:color w:val="555555"/>
                <w:sz w:val="18"/>
                <w:szCs w:val="18"/>
              </w:rPr>
              <w:t>γ = 2</w:t>
            </w:r>
          </w:p>
        </w:tc>
      </w:tr>
    </w:tbl>
    <w:tbl>
      <w:tblPr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552700" cy="2638425"/>
                  <wp:effectExtent l="0" t="0" r="0" b="0"/>
                  <wp:docPr id="1030" name="shape1030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00" cy="26384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40"/>
            </w:pPr>
            <w:r>
              <w:rPr>
                <w:rFonts w:ascii="맑은 고딕" w:eastAsia="맑은 고딕" w:hAnsi="맑은 고딕" w:cs="맑은 고딕"/>
                <w:color w:val="555555"/>
                <w:sz w:val="18"/>
                <w:szCs w:val="18"/>
              </w:rPr>
              <w:t>γ = 3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552700" cy="2638425"/>
                  <wp:effectExtent l="0" t="0" r="0" b="0"/>
                  <wp:docPr id="1031" name="shape1031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00" cy="26384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40"/>
            </w:pPr>
            <w:r>
              <w:rPr>
                <w:rFonts w:ascii="맑은 고딕" w:eastAsia="맑은 고딕" w:hAnsi="맑은 고딕" w:cs="맑은 고딕"/>
                <w:color w:val="555555"/>
                <w:sz w:val="18"/>
                <w:szCs w:val="18"/>
              </w:rPr>
              <w:t>γ = 4</w:t>
            </w:r>
          </w:p>
        </w:tc>
      </w:tr>
    </w:tbl>
    <w:tbl>
      <w:tblPr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552700" cy="2638425"/>
                  <wp:effectExtent l="0" t="0" r="0" b="0"/>
                  <wp:docPr id="1032" name="shape1032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00" cy="26384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40"/>
            </w:pPr>
            <w:r>
              <w:rPr>
                <w:rFonts w:ascii="맑은 고딕" w:eastAsia="맑은 고딕" w:hAnsi="맑은 고딕" w:cs="맑은 고딕"/>
                <w:color w:val="555555"/>
                <w:sz w:val="18"/>
                <w:szCs w:val="18"/>
              </w:rPr>
              <w:t>γ = 5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</w:tr>
    </w:tbl>
    <w:p>
      <w:pPr>
        <w:jc w:val="center"/>
        <w:spacing w:after="220" w:before="60"/>
      </w:pPr>
      <w:r>
        <w:rPr>
          <w:rFonts w:ascii="맑은 고딕" w:eastAsia="맑은 고딕" w:hAnsi="맑은 고딕" w:cs="맑은 고딕"/>
          <w:i/>
          <w:iCs/>
          <w:color w:val="555555"/>
          <w:sz w:val="18"/>
          <w:szCs w:val="18"/>
        </w:rPr>
        <w:t>그림 2. γ 값에 따른 조건부 생성 결과 (label = 5)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맑은 고딕" w:eastAsia="맑은 고딕" w:hAnsi="맑은 고딕" w:cs="맑은 고딕"/>
          <w:b/>
          <w:bCs/>
        </w:rPr>
        <w:t>4.1 γ별 관찰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8460"/>
      </w:tblGrid>
      <w:tr>
        <w:trPr>
          <w:tblHeader/>
        </w:trPr>
        <w:tc>
          <w:tcPr>
            <w:tcW w:w="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50" w:before="50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γ</w:t>
            </w:r>
          </w:p>
        </w:tc>
        <w:tc>
          <w:tcPr>
            <w:tcW w:w="846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50" w:before="50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관찰된 결과</w:t>
            </w:r>
          </w:p>
        </w:tc>
      </w:tr>
      <w:tr>
        <w:trPr/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50" w:before="5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9"/>
                <w:szCs w:val="19"/>
              </w:rPr>
              <w:t>−1</w:t>
            </w:r>
          </w:p>
        </w:tc>
        <w:tc>
          <w:tcPr>
            <w:tcW w:w="8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50" w:before="5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9"/>
                <w:szCs w:val="19"/>
              </w:rPr>
              <w:t>라벨이 완전히 무시되어 3, 0, 2, 8, 6 등 임의의 숫자가 생성됨. 무조건부 생성과 사실상 동일하며, 이론적 예측과 정확히 일치한다.</w:t>
            </w:r>
          </w:p>
        </w:tc>
      </w:tr>
      <w:tr>
        <w:trPr/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50" w:before="5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9"/>
                <w:szCs w:val="19"/>
              </w:rPr>
              <w:t>0</w:t>
            </w:r>
          </w:p>
        </w:tc>
        <w:tc>
          <w:tcPr>
            <w:tcW w:w="8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50" w:before="5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9"/>
                <w:szCs w:val="19"/>
              </w:rPr>
              <w:t>대부분 5가 생성되지만 6, 9, 8로 보이는 오생성 샘플이 눈에 띄게 섞여 있다. 반면 필체(기울기·굵기·형태)의 다양성은 가장 크다.</w:t>
            </w:r>
          </w:p>
        </w:tc>
      </w:tr>
      <w:tr>
        <w:trPr/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50" w:before="5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9"/>
                <w:szCs w:val="19"/>
              </w:rPr>
              <w:t>1</w:t>
            </w:r>
          </w:p>
        </w:tc>
        <w:tc>
          <w:tcPr>
            <w:tcW w:w="8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50" w:before="5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9"/>
                <w:szCs w:val="19"/>
              </w:rPr>
              <w:t>거의 전부 5로 생성된다. 애매한 샘플이 소수 남아 있으나 γ = 0 대비 확연히 감소하였고, 다양성은 여전히 높게 유지된다.</w:t>
            </w:r>
          </w:p>
        </w:tc>
      </w:tr>
      <w:tr>
        <w:trPr/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50" w:before="5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9"/>
                <w:szCs w:val="19"/>
              </w:rPr>
              <w:t>2</w:t>
            </w:r>
          </w:p>
        </w:tc>
        <w:tc>
          <w:tcPr>
            <w:tcW w:w="8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50" w:before="5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9"/>
                <w:szCs w:val="19"/>
              </w:rPr>
              <w:t>대부분 명확한 5이며 예외 샘플은 극소수이다. 획이 조금씩 굵어지기 시작한다.</w:t>
            </w:r>
          </w:p>
        </w:tc>
      </w:tr>
      <w:tr>
        <w:trPr/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50" w:before="5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9"/>
                <w:szCs w:val="19"/>
              </w:rPr>
              <w:t>3</w:t>
            </w:r>
          </w:p>
        </w:tc>
        <w:tc>
          <w:tcPr>
            <w:tcW w:w="8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50" w:before="5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9"/>
                <w:szCs w:val="19"/>
              </w:rPr>
              <w:t>사실상 전부 또렷한 5이다. 획이 굵고 진해지며 샘플 간 형태가 서로 비슷해지기 시작한다.</w:t>
            </w:r>
          </w:p>
        </w:tc>
      </w:tr>
      <w:tr>
        <w:trPr/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50" w:before="5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9"/>
                <w:szCs w:val="19"/>
              </w:rPr>
              <w:t>4</w:t>
            </w:r>
          </w:p>
        </w:tc>
        <w:tc>
          <w:tcPr>
            <w:tcW w:w="8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50" w:before="5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9"/>
                <w:szCs w:val="19"/>
              </w:rPr>
              <w:t>전부 5이지만 획이 과도하게 굵어지고 일부 샘플은 뭉개진(blob) 형태로 왜곡된다.</w:t>
            </w:r>
          </w:p>
        </w:tc>
      </w:tr>
      <w:tr>
        <w:trPr/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50" w:before="5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9"/>
                <w:szCs w:val="19"/>
              </w:rPr>
              <w:t>5</w:t>
            </w:r>
          </w:p>
        </w:tc>
        <w:tc>
          <w:tcPr>
            <w:tcW w:w="8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50" w:before="5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9"/>
                <w:szCs w:val="19"/>
              </w:rPr>
              <w:t>전부 5이며 대비가 가장 강하다. 샘플 간 형태가 수렴하여 다양성이 뚜렷하게 감소한다.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eastAsia="맑은 고딕" w:hAnsi="맑은 고딕" w:cs="맑은 고딕"/>
          <w:b/>
          <w:bCs/>
        </w:rPr>
        <w:t>4.2 γ의 의미와 품질–다양성 트레이드오프</w:t>
      </w:r>
    </w:p>
    <w:p>
      <w:pPr>
        <w:spacing w:after="110" w:line="300"/>
      </w:pPr>
      <w:r>
        <w:t>실험 결과 γ가 증가할수록 다음의 경향이 일관되게 나타났다.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t>클래스 일치도(생성된 샘플이 실제로 5인 비율)는 단조 증가한다.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t>필체의 다양성은 감소하며, γ ≥ 4에서는 샘플들이 서로 비슷한 형태로 수렴한다.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t>γ ≥ 4에서는 획의 과포화·왜곡이라는 부작용이 나타난다.</w:t>
      </w:r>
    </w:p>
    <w:p>
      <w:pPr>
        <w:spacing w:after="110" w:line="300"/>
      </w:pPr>
      <w:r>
        <w:t>이는 CFG가 조건부 분포를 p(x|y)·p(y|x)^γ 형태로 날카롭게 만들기 때문이다. γ가 클수록 분포의 모드(mode) 근처 샘플만 남게 되어 클래스 정확도는 올라가지만 표현의 다양성은 희생된다. 본 실험에서는 γ = 2~3이 "정확한 5"와 "자연스러운 필체"의 균형점이었다.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맑은 고딕" w:eastAsia="맑은 고딕" w:hAnsi="맑은 고딕" w:cs="맑은 고딕"/>
          <w:b/>
          <w:bCs/>
        </w:rPr>
        <w:t>5. Exploration 1: 가까운 잠재 코드로 비슷한 이미지를 생성할 수 있는가?</w:t>
      </w:r>
    </w:p>
    <w:p>
      <w:pPr>
        <w:pStyle w:val="Heading2"/>
        <w:spacing w:after="140" w:before="280"/>
      </w:pPr>
      <w:r>
        <w:rPr>
          <w:rFonts w:ascii="맑은 고딕" w:eastAsia="맑은 고딕" w:hAnsi="맑은 고딕" w:cs="맑은 고딕"/>
          <w:b/>
          <w:bCs/>
        </w:rPr>
        <w:t>5.1 실험 방법</w:t>
      </w:r>
    </w:p>
    <w:p>
      <w:pPr>
        <w:spacing w:after="110" w:line="300"/>
      </w:pPr>
      <w:r>
        <w:t>조건부 샘플링(label = 7, γ = 2)으로 생성한 이미지 8장을 원본으로 삼았다. 이를 확산 스텝 t까지 순방향으로 노이즈화한 뒤 작은 교란(0.1 · N(0, I))을 추가하고, 다시 t → 0으로 조건부 디노이징하여 원본과 비교하였다. t ∈ {20, 50, 100, 150}에 대해 반복하였다.</w:t>
      </w:r>
    </w:p>
    <w:p>
      <w:pPr>
        <w:jc w:val="center"/>
        <w:spacing w:after="40" w:before="100"/>
      </w:pPr>
      <w:r>
        <w:drawing>
          <wp:inline distT="0" distB="0" distL="0" distR="0">
            <wp:extent cx="4476750" cy="1409700"/>
            <wp:effectExtent l="0" t="0" r="0" b="0"/>
            <wp:docPr id="1033" name="shape1033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40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40" w:before="100"/>
      </w:pPr>
      <w:r>
        <w:drawing>
          <wp:inline distT="0" distB="0" distL="0" distR="0">
            <wp:extent cx="4476750" cy="1409700"/>
            <wp:effectExtent l="0" t="0" r="0" b="0"/>
            <wp:docPr id="1034" name="shape1034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40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40" w:before="100"/>
      </w:pPr>
      <w:r>
        <w:drawing>
          <wp:inline distT="0" distB="0" distL="0" distR="0">
            <wp:extent cx="4476750" cy="1409700"/>
            <wp:effectExtent l="0" t="0" r="0" b="0"/>
            <wp:docPr id="1035" name="shape103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40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40" w:before="100"/>
      </w:pPr>
      <w:r>
        <w:drawing>
          <wp:inline distT="0" distB="0" distL="0" distR="0">
            <wp:extent cx="4476750" cy="1409700"/>
            <wp:effectExtent l="0" t="0" r="0" b="0"/>
            <wp:docPr id="1036" name="shape103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40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220" w:before="60"/>
      </w:pPr>
      <w:r>
        <w:rPr>
          <w:rFonts w:ascii="맑은 고딕" w:eastAsia="맑은 고딕" w:hAnsi="맑은 고딕" w:cs="맑은 고딕"/>
          <w:i/>
          <w:iCs/>
          <w:color w:val="555555"/>
          <w:sz w:val="18"/>
          <w:szCs w:val="18"/>
        </w:rPr>
        <w:t>그림 3. t = 20, 50, 100, 150에서의 재생성 결과 (위: 원본, 아래: 복원)</w:t>
      </w:r>
    </w:p>
    <w:p>
      <w:pPr>
        <w:pStyle w:val="Heading2"/>
        <w:spacing w:after="140" w:before="280"/>
      </w:pPr>
      <w:r>
        <w:rPr>
          <w:rFonts w:ascii="맑은 고딕" w:eastAsia="맑은 고딕" w:hAnsi="맑은 고딕" w:cs="맑은 고딕"/>
          <w:b/>
          <w:bCs/>
        </w:rPr>
        <w:t>5.2 관찰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t>t = 20 ~ 50: 복원 결과가 원본과 거의 픽셀 단위로 동일하다.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t>t = 100: 여전히 같은 형태의 7이 복원되며 미세한 획 차이만 존재한다.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t>t = 150: 숫자의 정체성(같은 7, 같은 전체 구도)은 유지되지만 획의 두께나 꺾임 등 세부가 조금씩 달라진다.</w:t>
      </w:r>
    </w:p>
    <w:p>
      <w:pPr>
        <w:pStyle w:val="Heading2"/>
        <w:spacing w:after="140" w:before="280"/>
      </w:pPr>
      <w:r>
        <w:rPr>
          <w:rFonts w:ascii="맑은 고딕" w:eastAsia="맑은 고딕" w:hAnsi="맑은 고딕" w:cs="맑은 고딕"/>
          <w:b/>
          <w:bCs/>
        </w:rPr>
        <w:t>5.3 해석 및 답변</w:t>
      </w:r>
    </w:p>
    <w:p>
      <w:pPr>
        <w:spacing w:after="110" w:line="300"/>
      </w:pPr>
      <w:r>
        <w:t>결론적으로 가까운 잠재 코드에서는 비슷한 이미지가 생성된다. 그 이유는 다음과 같다.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t>본 스케줄에서는 t = 150일 때도 ᾱ_t ≈ 0.32로, 신호 성분의 진폭 √ᾱ_t ≈ 0.57이 남아 있다. 즉 노이즈화된 x_t가 여전히 원본의 전체 구조 정보를 상당 부분 담고 있다.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t>역확산 과정의 결정적 성분(평균 μ)이 x_t에 남아 있는 구조를 따라가므로, 가까운 잠재는 가까운 이미지로 매핑된다.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t>추가한 교란(0.1)의 크기가 해당 스텝의 노이즈 표준편차에 비해 작아 다른 모드로 점프시키지 못한다.</w:t>
      </w:r>
    </w:p>
    <w:p>
      <w:pPr>
        <w:spacing w:after="110" w:line="300"/>
      </w:pPr>
      <w:r>
        <w:t>t와 조건부/무조건부 여부에 따라 결과는 달라진다. t가 커질수록 남아 있는 신호가 줄어 복원의 자유도(다양성)가 커지므로, t는 "원본을 얼마나 잊을지"를 조절하는 손잡이 역할을 한다. 작은 t는 복원(reconstruction)에, 큰 t는 같은 클래스 내 변형(variation) 생성에 가깝다. 또한 조건부 디노이징은 클래스를 고정해 주므로 큰 t에서도 7에서 벗어나지 않지만, 무조건부로 디노이징한다면 큰 t에서 다른 숫자로 이탈할 가능성이 커진다.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맑은 고딕" w:eastAsia="맑은 고딕" w:hAnsi="맑은 고딕" w:cs="맑은 고딕"/>
          <w:b/>
          <w:bCs/>
        </w:rPr>
        <w:t>6. Exploration 2: 확산 모델이 구멍을 채울 수 있는가?</w:t>
      </w:r>
    </w:p>
    <w:p>
      <w:pPr>
        <w:pStyle w:val="Heading2"/>
        <w:spacing w:after="140" w:before="280"/>
      </w:pPr>
      <w:r>
        <w:rPr>
          <w:rFonts w:ascii="맑은 고딕" w:eastAsia="맑은 고딕" w:hAnsi="맑은 고딕" w:cs="맑은 고딕"/>
          <w:b/>
          <w:bCs/>
        </w:rPr>
        <w:t>6.1 실험 방법</w:t>
      </w:r>
    </w:p>
    <w:p>
      <w:pPr>
        <w:spacing w:after="110" w:line="300"/>
      </w:pPr>
      <w:r>
        <w:t>조건부 샘플링(label = 8, γ = 2)으로 생성한 이미지의 윗절반(14행)을 마스킹한 뒤 두 가지 방식으로 복원을 시도하였다.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t>단순(simple) 방식: 마스킹된 이미지를 스텝 t까지 노이즈화한 뒤 그대로 t → 0으로 디노이징한다.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t>RePaint 방식: 매 역확산 스텝마다 보존 영역(아랫절반)을 해당 스텝의 노이즈 레벨에 맞게 노이즈화한 원본으로 강제 재고정하여, 모델이 구멍 영역만 생성하도록 제약한다.</w:t>
      </w:r>
    </w:p>
    <w:p>
      <w:pPr>
        <w:jc w:val="center"/>
        <w:spacing w:after="40" w:before="100"/>
      </w:pPr>
      <w:r>
        <w:drawing>
          <wp:inline distT="0" distB="0" distL="0" distR="0">
            <wp:extent cx="4095750" cy="2266950"/>
            <wp:effectExtent l="0" t="0" r="0" b="0"/>
            <wp:docPr id="1037" name="shape103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266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40" w:before="100"/>
      </w:pPr>
      <w:r>
        <w:drawing>
          <wp:inline distT="0" distB="0" distL="0" distR="0">
            <wp:extent cx="4095750" cy="2266950"/>
            <wp:effectExtent l="0" t="0" r="0" b="0"/>
            <wp:docPr id="1038" name="shape1038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266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220" w:before="60"/>
      </w:pPr>
      <w:r>
        <w:rPr>
          <w:rFonts w:ascii="맑은 고딕" w:eastAsia="맑은 고딕" w:hAnsi="맑은 고딕" w:cs="맑은 고딕"/>
          <w:i/>
          <w:iCs/>
          <w:color w:val="555555"/>
          <w:sz w:val="18"/>
          <w:szCs w:val="18"/>
        </w:rPr>
        <w:t>그림 4. t = 80 (위), t = 150 (아래) 인페인팅 결과. 각 행: 원본 / 마스킹 / 단순 / RePaint</w:t>
      </w:r>
    </w:p>
    <w:p>
      <w:pPr>
        <w:pStyle w:val="Heading2"/>
        <w:spacing w:after="140" w:before="280"/>
        <w:rPr>
          <w:lang/>
          <w:rFonts w:ascii="맑은 고딕" w:eastAsia="맑은 고딕" w:hAnsi="맑은 고딕" w:cs="맑은 고딕"/>
          <w:b/>
          <w:bCs/>
          <w:rtl w:val="off"/>
        </w:rPr>
      </w:pPr>
    </w:p>
    <w:p>
      <w:pPr>
        <w:pStyle w:val="Heading2"/>
        <w:spacing w:after="140" w:before="280"/>
      </w:pPr>
      <w:r>
        <w:rPr>
          <w:rFonts w:ascii="맑은 고딕" w:eastAsia="맑은 고딕" w:hAnsi="맑은 고딕" w:cs="맑은 고딕"/>
          <w:b/>
          <w:bCs/>
        </w:rPr>
        <w:t>6.2 관찰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t>t = 80: 단순·RePaint 방식 모두 윗절반에 노이즈 얼룩(speckle)이 남아 구멍이 깨끗하게 채워지지 않았다. 아랫절반의 원본 구조는 유지된다.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t>t = 150: 두 방식 모두 윗절반에 일관된 획이 생성되어 완전한 8 형태로 복원되는 샘플이 많아졌다. RePaint 방식은 아랫절반이 원본과 더 일치하며, 단순 방식은 일부 샘플이 6 등 다른 형태로 이탈하였다.</w:t>
      </w:r>
    </w:p>
    <w:p>
      <w:pPr>
        <w:pStyle w:val="Heading2"/>
        <w:spacing w:after="140" w:before="280"/>
      </w:pPr>
      <w:r>
        <w:rPr>
          <w:rFonts w:ascii="맑은 고딕" w:eastAsia="맑은 고딕" w:hAnsi="맑은 고딕" w:cs="맑은 고딕"/>
          <w:b/>
          <w:bCs/>
        </w:rPr>
        <w:t>6.3 해석 및 답변</w:t>
      </w:r>
    </w:p>
    <w:p>
      <w:pPr>
        <w:spacing w:after="110" w:line="300"/>
      </w:pPr>
      <w:r>
        <w:t>확산 모델은 구멍을 채울 수 있으나, 두 가지 조건이 필요하다. 첫째로 t가 충분히 커야 하고, 둘째로 RePaint식 재고정이 있으면 원본에 더 충실한 결과를 얻는다.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t>마스킹된 영역(값 0)은 학습 분포에 존재하지 않는 out-of-distribution 입력이다. t가 작으면 남은 역확산 스텝 수가 적어 모델이 이 이질적인 영역을 실제 획으로 재구성할 기회가 부족하여 얼룩이 그대로 남는다.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t>t가 크면 구멍 영역이 자연스러운 노이즈 수준으로 덮이고, 충분한 스텝 동안 모델의 prior(8의 형태에 대한 지식)와 주변 문맥(아랫절반)에 맞춰 새로운 획을 생성할 수 있다.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t>RePaint가 더 충실한 이유는 매 스텝 보존 영역을 원본으로 재고정하여 "구멍만 생성"하도록 제약하기 때문이다. 보존 영역을 x₀ 그대로가 아니라 해당 스텝에 맞게 노이즈화하여 넣는 것은, 중간 스텝의 입력이 모델이 학습한 노이즈 분포와 일치해야 하기 때문이다.</w:t>
      </w:r>
    </w:p>
    <w:p>
      <w:pPr>
        <w:spacing w:after="110" w:line="300"/>
      </w:pPr>
      <w:r>
        <w:t>t와 조건부 여부에 따라 결과는 달라진다. t는 "채움 품질"과 "원본 보존" 사이의 트레이드오프를 만들며, 지나치게 크면 보존해야 할 부분까지 새로 그려질 수 있다(단순 방식에서 관찰된 이탈이 그 예이다). 또한 조건부 샘플링(label = 8)은 채워지는 내용이 8이 되도록 유도하므로 무조건부보다 성공률이 높다.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맑은 고딕" w:eastAsia="맑은 고딕" w:hAnsi="맑은 고딕" w:cs="맑은 고딕"/>
          <w:b/>
          <w:bCs/>
        </w:rPr>
        <w:t>7. 결론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t>ε-추정 DDPM과 Classifier-Free Guidance를 구현하고 MNIST에서 무조건부·조건부 생성이 정상적으로 동작함을 확인하였다.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t>γ는 무조건부 예측에서 조건부 예측 방향으로의 외삽 강도이며, γ 증가는 클래스 정확도 향상과 다양성 감소라는 트레이드오프를 만든다. 본 실험에서는 γ = 2~3이 균형점이었다.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t>γ = −1에서 라벨이 실제로 무시되어 무조건부 생성과 동일한 결과가 나온 것은 CFG 결합식이 올바르게 구현되었음을 보여주는 직접적인 증거이다.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t>노이즈화 스텝 t는 "원본을 얼마나 기억할지"를 조절하는 손잡이로 작동하며, 작은 t는 복원에, 큰 t는 같은 클래스 내 변형 생성에 대응한다.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t>인페인팅은 t가 충분히 크고 RePaint식 재고정을 사용할 때 가장 자연스러운 결과를 얻을 수 있음을 확인하였다.</w:t>
      </w:r>
    </w:p>
    <w:sectPr>
      <w:pgSz w:w="12240" w:h="15840"/>
      <w:pgMar w:top="1440" w:right="1440" w:bottom="1440" w:left="1440" w:header="708" w:footer="708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  <w:font w:name="Consolas">
    <w:panose1 w:val="020B0609020204030204"/>
    <w:notTrueType w:val="false"/>
    <w:sig w:usb0="E00006FF" w:usb1="0000FCFF" w:usb2="00000001" w:usb3="00000001" w:csb0="6000019F" w:csb1="DFD7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hybridMultilevel"/>
    <w:lvl w:ilvl="0" w:tentative="on">
      <w:start w:val="1"/>
      <w:numFmt w:val="bullet"/>
      <w:lvlText w:val="●"/>
      <w:lvlJc w:val="left"/>
      <w:pPr>
        <w:ind w:left="720" w:hanging="360"/>
      </w:pPr>
    </w:lvl>
    <w:lvl w:ilvl="1" w:tentative="on">
      <w:start w:val="1"/>
      <w:numFmt w:val="bullet"/>
      <w:lvlText w:val="○"/>
      <w:lvlJc w:val="left"/>
      <w:pPr>
        <w:ind w:left="1440" w:hanging="360"/>
      </w:pPr>
    </w:lvl>
    <w:lvl w:ilvl="2" w:tentative="on">
      <w:start w:val="1"/>
      <w:numFmt w:val="bullet"/>
      <w:lvlText w:val="■"/>
      <w:lvlJc w:val="left"/>
      <w:pPr>
        <w:ind w:left="2160" w:hanging="360"/>
      </w:pPr>
    </w:lvl>
    <w:lvl w:ilvl="3" w:tentative="on">
      <w:start w:val="1"/>
      <w:numFmt w:val="bullet"/>
      <w:lvlText w:val="●"/>
      <w:lvlJc w:val="left"/>
      <w:pPr>
        <w:ind w:left="2880" w:hanging="360"/>
      </w:pPr>
    </w:lvl>
    <w:lvl w:ilvl="4" w:tentative="on">
      <w:start w:val="1"/>
      <w:numFmt w:val="bullet"/>
      <w:lvlText w:val="○"/>
      <w:lvlJc w:val="left"/>
      <w:pPr>
        <w:ind w:left="3600" w:hanging="360"/>
      </w:pPr>
    </w:lvl>
    <w:lvl w:ilvl="5" w:tentative="on">
      <w:start w:val="1"/>
      <w:numFmt w:val="bullet"/>
      <w:lvlText w:val="■"/>
      <w:lvlJc w:val="left"/>
      <w:pPr>
        <w:ind w:left="4320" w:hanging="360"/>
      </w:pPr>
    </w:lvl>
    <w:lvl w:ilvl="6" w:tentative="on">
      <w:start w:val="1"/>
      <w:numFmt w:val="bullet"/>
      <w:lvlText w:val="●"/>
      <w:lvlJc w:val="left"/>
      <w:pPr>
        <w:ind w:left="5040" w:hanging="360"/>
      </w:pPr>
    </w:lvl>
    <w:lvl w:ilvl="7" w:tentative="on">
      <w:start w:val="1"/>
      <w:numFmt w:val="bullet"/>
      <w:lvlText w:val="●"/>
      <w:lvlJc w:val="left"/>
      <w:pPr>
        <w:ind w:left="5760" w:hanging="360"/>
      </w:pPr>
    </w:lvl>
    <w:lvl w:ilvl="8" w:tentative="on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eastAsia="맑은 고딕" w:hAnsi="맑은 고딕" w:cs="맑은 고딕"/>
        <w:sz w:val="21"/>
        <w:szCs w:val="21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pPr>
      <w:pBdr>
        <w:bottom w:val="single" w:sz="4" w:space="6" w:color="C5D3E8"/>
      </w:pBdr>
      <w:spacing w:after="160" w:before="320"/>
    </w:pPr>
    <w:rPr>
      <w:rFonts w:ascii="맑은 고딕" w:eastAsia="맑은 고딕" w:hAnsi="맑은 고딕" w:cs="맑은 고딕"/>
      <w:b/>
      <w:bCs/>
      <w:color w:val="1A3E6E"/>
      <w:sz w:val="28"/>
      <w:szCs w:val="28"/>
    </w:rPr>
  </w:style>
  <w:style w:type="paragraph" w:customStyle="1" w:styleId="Heading2">
    <w:name w:val="Heading 2"/>
    <w:next w:val="Title"/>
    <w:qFormat/>
    <w:pPr>
      <w:spacing w:after="120" w:before="260"/>
    </w:pPr>
    <w:rPr>
      <w:rFonts w:ascii="맑은 고딕" w:eastAsia="맑은 고딕" w:hAnsi="맑은 고딕" w:cs="맑은 고딕"/>
      <w:b/>
      <w:bCs/>
      <w:color w:val="2C5490"/>
      <w:sz w:val="23"/>
      <w:szCs w:val="23"/>
    </w:rPr>
  </w:style>
  <w:style w:type="paragraph" w:customStyle="1" w:styleId="Heading3">
    <w:name w:val="Heading 3"/>
    <w:next w:val="Title"/>
    <w:qFormat/>
    <w:rPr>
      <w:color w:val="1F4D78"/>
      <w:sz w:val="24"/>
      <w:szCs w:val="24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uiPriority w:val="99"/>
    <w:link w:val="End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uiPriority w:val="99"/>
    <w:link w:val="EndnoteText"/>
    <w:semiHidden/>
    <w:unhideWhenUsed/>
    <w:rPr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image" Target="media/image6.png" /><Relationship Id="rId7" Type="http://schemas.openxmlformats.org/officeDocument/2006/relationships/image" Target="media/image7.png" /><Relationship Id="rId8" Type="http://schemas.openxmlformats.org/officeDocument/2006/relationships/image" Target="media/image8.png" /><Relationship Id="rId9" Type="http://schemas.openxmlformats.org/officeDocument/2006/relationships/image" Target="media/image9.png" /><Relationship Id="rId10" Type="http://schemas.openxmlformats.org/officeDocument/2006/relationships/image" Target="media/image10.png" /><Relationship Id="rId11" Type="http://schemas.openxmlformats.org/officeDocument/2006/relationships/image" Target="media/image11.png" /><Relationship Id="rId12" Type="http://schemas.openxmlformats.org/officeDocument/2006/relationships/image" Target="media/image12.png" /><Relationship Id="rId13" Type="http://schemas.openxmlformats.org/officeDocument/2006/relationships/image" Target="media/image13.png" /><Relationship Id="rId14" Type="http://schemas.openxmlformats.org/officeDocument/2006/relationships/image" Target="media/image14.png" /><Relationship Id="rId15" Type="http://schemas.openxmlformats.org/officeDocument/2006/relationships/styles" Target="styles.xml" /><Relationship Id="rId16" Type="http://schemas.openxmlformats.org/officeDocument/2006/relationships/settings" Target="settings.xml" /><Relationship Id="rId17" Type="http://schemas.openxmlformats.org/officeDocument/2006/relationships/fontTable" Target="fontTable.xml" /><Relationship Id="rId18" Type="http://schemas.openxmlformats.org/officeDocument/2006/relationships/webSettings" Target="webSettings.xml" /><Relationship Id="rId19" Type="http://schemas.openxmlformats.org/officeDocument/2006/relationships/numbering" Target="numbering.xml" /><Relationship Id="rId20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benz6</cp:lastModifiedBy>
  <cp:revision>1</cp:revision>
  <dcterms:modified xsi:type="dcterms:W3CDTF">2026-08-04T15:13:28Z</dcterms:modified>
  <cp:version>1100.0100.01</cp:version>
</cp:coreProperties>
</file>