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lastRenderedPageBreak/>
              <w:t>202</w:t>
            </w:r>
            <w:r w:rsidRPr="00F7734F"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6</w:t>
            </w:r>
            <w:r w:rsidRPr="00F7734F"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 xml:space="preserve">팀 </w:t>
            </w: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 xml:space="preserve">  </w:t>
            </w: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ClaimGate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color w:val="595959" w:themeColor="text1" w:themeTint="A6"/>
                <w:sz w:val="20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자유과제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rFonts w:ascii="Malgun Gothic" w:hAnsi="Malgun Gothic"/>
          <w:b/>
          <w:bCs/>
          <w:sz w:val="20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ClaimGate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Malgun Gothic" w:cs="굴림" w:ascii="Malgun Gothic"/>
                <w:b/>
                <w:bCs/>
                <w:color w:val="000000"/>
                <w:sz w:val="2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https://github.com/WooYoungSang/claimgate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https://youtu.be/enVss0O8fkw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AI·공공데이터 출력의 주장을 Source Anchor, 결정론적 위험 규칙, 사람의 검토, Evidence Pack으로 연결하는 오픈소스 claim review framework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생성형 AI 문장은 자연스러워도 출처·값·날짜·기관이 틀릴 수 있다. ClaimGate는 생성 이후의 검토 책임과 재사용 조건을 코드로 명시한다.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목표: AI는 후보 주장·근거만 제안하고, Source Anchor·명시적 규칙·사람의 최종 판정으로 승인된 주장만 Evidence Pack에 넣는다.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불변식: No Anchor, No Claim / AI Curator, Not Judge / deterministic risk / Evidence Pack First.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Node.js 20+, TypeScript strict, pnpm monorepo, React 18, Vite, Vitest, tsup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선택적 로컬 AI: Gemma 4 12B candidate extractor, repo-local sparse RAG, bounded QLoRA adapter evaluation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Go 1.22 도구: kbctl JSON 지식정본 CLI, FMON Bubble Tea read-model TUI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기본 경로는 서버·DB·인증·호스팅 LLM 없이 offline deterministic fixture-first로 재현 가능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@claimgate/core: Claim·Source Anchor·review state·risk trace·Evidence Pack 불변식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@claimgate/ui: 숨은 판정 권한이 없는 controlled React components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@claimgate/pack-*: civic / health / MOFA ODA fixture와 도메인 판단 규칙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@claimgate/ai-local: 후보 추출과 RAG provenance만 담당하며 검증·위험결정·투영 권한 없음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데이터 흐름: Candidate → accepted Source Anchor → deterministic risk → Human Review → Evidence Pack → Report/Graph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937760" cy="36175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uided-demo-st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617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[서면 1/5 프로젝트 구조 및 코드 완성도] strict TypeScript 패키지 경계와 순수 core를 유지한다. 출처 없는 verified/corrected 전이, AI의 위험·판정·투영, 미승인 Evidence Pack을 fail-closed로 거부한다.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2/5 오픈소스 프로젝트로의 발전 가능성] core/UI 계약을 고정하고 DomainPack이 fixture·rule·copy를 확장한다. civic·health·MOFA ODA 3개 팩과 conformance kit가 새 팩의 호환성을 검사한다.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3/5 개발 문서의 구체성] README의 Node 20+/pnpm quickstart, CONTRIBUTING의 검증 절차, SECURITY의 신뢰경계, 패키지별 API 문서로 설치→데모→확장을 재현한다.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[실행·기능테스트] pnpm install --frozen-lockfile → pnpm demo → pnpm eval:framework. unit/conformance/e2e/runbook/clean-clone/deployment/submission negative controls를 workspace에서 자동 실행한다.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937760" cy="39570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review-workspa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957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[활용성] 공공기관·연구·보건·시민데이터의 AI 초안을 주장 단위 reviewer workflow로 바꾸고, 근거 위치·규칙 trace·사람의 결정을 함께 인계한다.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[작품 데모(완성도)] offline fixture만으로 RED/YELLOW/GREEN 분류, 정정·검증, Evidence Pack export가 반복 실행된다. local Gemma/RAG/QLoRA는 선택 기능이며 core 판정 권한을 갖지 않는다.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[커뮤니티 확장 가능성] CONTRIBUTING·Issue 양식·conformance kit와 공개 v0.2 milestone을 제공한다. DomainPack, read-only adapter, bounded AI holdout에 대한 roadmap Issue 3개를 공개했으며 외부 contributor·PR 채택 실적은 아직 없다고 명시한다.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[향후 검증] 읽기 전용 공공데이터 adapter와 제한 파일럿으로 검토시간·재확인시간·정정 재사용률을 측정한다. 현재 운영 정확도·고객 채택·시간 절감 수치는 주장하지 않는다.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[서면 4/5 프로젝트 혁신성] 더 많은 답을 생성하는 대신, 주장 단위 Source Anchor→deterministic risk→Human Review→Evidence Pack을 하나의 검토 프로토콜로 구현한다.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5/5 프로젝트 협업 및 관리체계] MIT LICENSE, CONTRIBUTING, SECURITY, kbctl SSOT, 120+ commits와 자동 lint/typecheck/test를 운영한다. 현재 1인 개발이므로 외부 Review·PR·커뮤니티 활동 이력을 과장하지 않는다.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[오픈소스SW 적절성·라이선스 검증] React/Vite/Vitest/Go OSS를 정상 실행 경로에 사용하고, LICENSE·THIRD_PARTY_LICENSES·붙임 SBOM·AI 모델 명세로 식별·충돌 여부를 점검한다.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[관리 증거] CODE_OF_CONDUCT.md, GOVERNANCE.md, ROADMAP.md, .github/ISSUE_TEMPLATE/bug_report.yml, .github/ISSUE_TEMPLATE/domain_pack.yml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[한계·로드맵] live OpenAPI·production vector DB·실사용 효과는 future scope다. framework 안정화→ODA 시제품→파일럿→community DomainPack registry 순으로 공개 검증한다.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SBOM(소프트웨어 자재명세서</w:t>
            </w:r>
            <w:r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@types/node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22.10.2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the Node.js APIs used by build and test scripts.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React components.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@types/react-dom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React DOM rendering.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@vitejs/plugin-react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4.3.4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https://github.com/vitejs/vite-plugin-react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React transform support for the Vite example build.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Controlled-component runtime for the evaluator UI.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react-dom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Browser renderer for the evaluator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tsup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8.3.5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https://github.com/egoist/tsup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TypeScript package bundling for ClaimGate workspace packages.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tsx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4.19.2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https://github.com/privatenumber/tsx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TypeScript runner for local demos and evaluator scripts.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typescript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5.7.2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Apache-2.0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https://github.com/microsoft/TypeScript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Strict TypeScript compiler and type checker.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vite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5.4.11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https://github.com/vitejs/vite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Static development and production build tool for the example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11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vitest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2.1.8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https://github.com/vitest-dev/vitest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test: Deterministic unit and conformance test runner.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12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zustand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4.5.5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https://github.com/pmndrs/zustand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Local client-side review workflow state for the example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13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github.com/aymanbagabas/go-osc52/v2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v2.0.1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https://github.com/aymanbagabas/go-osc52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14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github.com/charmbracelet/bubbles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https://github.com/charmbracelet/bubbles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Reusable terminal UI components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15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github.com/charmbracelet/bubbletea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v1.3.4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https://github.com/charmbracelet/bubbletea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Terminal UI runtime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16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github.com/charmbracelet/lipgloss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https://github.com/charmbracelet/lipgloss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Terminal layout and styling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github.com/charmbracelet/x/ansi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v0.8.0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github.com/charmbracelet/x/term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github.com/erikgeiser/coninput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v0.0.0-20211004153227-1c3628e74d0f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https://github.com/erikgeiser/coninput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github.com/lucasb-eyer/go-colorful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v1.2.0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https://github.com/lucasb-eyer/go-colorful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21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github.com/mattn/go-isatty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v0.0.20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https://github.com/mattn/go-isatty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22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github.com/mattn/go-localereader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https://github.com/mattn/go-localereader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23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github.com/mattn/go-runewidth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v0.0.16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https://github.com/mattn/go-runewidth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24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github.com/muesli/ansi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v0.0.0-20230316100256-276c6243b2f6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https://github.com/muesli/ansi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25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github.com/muesli/cancelreader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https://github.com/muesli/cancelreader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26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github.com/muesli/termenv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v0.15.2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https://github.com/muesli/termenv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github.com/rivo/uniseg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v0.4.7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https://github.com/rivo/uniseg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golang.org/x/sync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v0.11.0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https://go.googlesource.com/sync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golang.org/x/sys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v0.30.0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https://go.googlesource.com/sys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30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golang.org/x/text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v0.3.8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https://go.googlesource.com/text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rPr>
          <w:rFonts w:ascii="Malgun Gothic" w:hAnsi="Malgun Gothic"/>
          <w:sz w:val="20"/>
        </w:rPr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rFonts w:ascii="Malgun Gothic" w:hAnsi="Malgun Gothic"/>
          <w:b/>
          <w:bCs/>
          <w:sz w:val="20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 w:ascii="Malgun Gothic" w:hAnsi="Malgun Gothic"/>
                <w:b/>
                <w:bCs/>
                <w:color w:val="0070C0"/>
                <w:sz w:val="2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rFonts w:ascii="Malgun Gothic" w:hAnsi="Malgun Gothic"/>
                <w:color w:val="404040"/>
                <w:sz w:val="2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rFonts w:ascii="Malgun Gothic" w:hAnsi="Malgun Gothic"/>
                <w:color w:val="404040"/>
                <w:sz w:val="2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rFonts w:ascii="Malgun Gothic" w:hAnsi="Malgun Gothic"/>
                <w:b/>
                <w:bCs/>
                <w:sz w:val="20"/>
                <w:szCs w:val="22"/>
              </w:rPr>
              <w:t xml:space="preserve">1. AI 모델 활용 유형 </w:t>
            </w:r>
            <w:r w:rsidRPr="00B52F1A">
              <w:rPr>
                <w:rFonts w:ascii="Malgun Gothic" w:hAnsi="Malgun Gothic"/>
                <w:sz w:val="20"/>
                <w:szCs w:val="22"/>
              </w:rPr>
              <w:t xml:space="preserve">(해당하는 항목에 </w:t>
            </w:r>
            <w:r w:rsidRPr="00B52F1A">
              <w:rPr>
                <w:rFonts w:hint="eastAsia" w:ascii="Malgun Gothic" w:hAnsi="Malgun Gothic"/>
                <w:sz w:val="20"/>
                <w:szCs w:val="22"/>
              </w:rPr>
              <w:t xml:space="preserve">▣ </w:t>
            </w:r>
            <w:r w:rsidRPr="00B52F1A">
              <w:rPr>
                <w:rFonts w:ascii="Malgun Gothic" w:hAnsi="Malgun Gothic"/>
                <w:sz w:val="20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□ 유형 1</w:t>
              <w:br/>
              <w:t>▣ 유형 2: Gemma 4 12B 기반 candidate-only QLoRA 추가학습(로컬 선택 경로). 기본 deterministic fixture 경로는 모델 없이 동작.</w:t>
              <w:br/>
              <w:t>□ 유형 3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rFonts w:ascii="Malgun Gothic" w:hAnsi="Malgun Gothic"/>
                <w:b/>
                <w:bCs/>
                <w:sz w:val="20"/>
                <w:szCs w:val="22"/>
              </w:rPr>
              <w:t xml:space="preserve">2. 기반(베이스) 모델 정보 </w:t>
            </w:r>
            <w:r w:rsidRPr="00B52F1A">
              <w:rPr>
                <w:rFonts w:ascii="Malgun Gothic" w:hAnsi="Malgun Gothic"/>
                <w:sz w:val="20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rFonts w:ascii="Malgun Gothic" w:hAnsi="Malgun Gothic"/>
                <w:sz w:val="20"/>
                <w:szCs w:val="22"/>
              </w:rPr>
              <w:t>필수 /</w:t>
            </w:r>
            <w:proofErr w:type="gramEnd"/>
            <w:r w:rsidRPr="00B52F1A">
              <w:rPr>
                <w:rFonts w:ascii="Malgun Gothic" w:hAnsi="Malgun Gothic"/>
                <w:sz w:val="20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rFonts w:ascii="Malgun Gothic" w:hAnsi="Malgun Gothic"/>
                <w:sz w:val="20"/>
                <w:szCs w:val="22"/>
              </w:rPr>
              <w:t>으로</w:t>
            </w:r>
            <w:proofErr w:type="spellEnd"/>
            <w:r w:rsidRPr="00B52F1A">
              <w:rPr>
                <w:rFonts w:ascii="Malgun Gothic" w:hAnsi="Malgun Gothic"/>
                <w:sz w:val="20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Gemma 4 12B (Google), Ollama model tag gemma4:12b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Apache-2.0 — Gemma 4 전용 라이선스 적용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예) </w:t>
            </w:r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Gemma Terms of </w:t>
            </w:r>
            <w:proofErr w:type="gram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Use /</w:t>
            </w:r>
            <w:proofErr w:type="gram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</w:t>
            </w:r>
            <w:proofErr w:type="spell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LLaMA</w:t>
            </w:r>
            <w:proofErr w:type="spell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3 Community </w:t>
            </w:r>
            <w:proofErr w:type="gram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License /</w:t>
            </w:r>
            <w:proofErr w:type="gram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Apache 2.0 등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3. 데이터셋 정보 및 가중치 배포 명세</w:t>
            </w:r>
            <w:r w:rsidRPr="00B52F1A">
              <w:rPr>
                <w:rFonts w:ascii="Malgun Gothic" w:hAnsi="Malgun Gothic"/>
                <w:sz w:val="20"/>
              </w:rPr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MOFA ODA 공개 demo fixture 유래 9건: train 6 / fixture family별 non-overlap bounded holdout 3. 고객·비공개 데이터 없음.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가공 방법</w:t>
            </w:r>
            <w:r>
              <w:rPr>
                <w:rFonts w:hint="eastAsia" w:ascii="Malgun Gothic" w:hAnsi="Malgun Gothic"/>
                <w:b/>
                <w:bCs/>
                <w:sz w:val="20"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CandidateClaim 허용 필드만 유지하고 train/holdout을 분리. response-only loss와 EOS로 strict JSON completion을 학습.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미배포 — 모델 및 adapter weights는 공개 저장소와 제출 ZIP에 포함하지 않음. 재현 스크립트와 bounded 평가 JSON만 대표 저장소에 공개.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Gemma 4 12B QLoRA 60-step, local 4-bit 학습. holdout strict JSON/exact text 3/3, authority violation 0. productionQuality=false이며 운영 정확도 주장이 아님.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lastRenderedPageBreak/>
              <w:t xml:space="preserve">4. 소스코드 라이선스 및 개발 환경 정보 </w:t>
            </w:r>
            <w:r w:rsidRPr="00B52F1A">
              <w:rPr>
                <w:rFonts w:ascii="Malgun Gothic" w:hAnsi="Malgun Gothic"/>
                <w:sz w:val="20"/>
              </w:rPr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 License</w:t>
            </w:r>
          </w:p>
        </w:tc>
        <w:tc>
          <w:tcPr>
            <w:tcW w:w="2694" w:type="dxa"/>
            <w:shd w:val="clear" w:color="auto" w:fill="DAE9F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https://github.com/WooYoungSang/claimgate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[GitHub/GitLab 등 소스코드 </w:t>
            </w:r>
            <w:proofErr w:type="spellStart"/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>리포지토리</w:t>
            </w:r>
            <w:proofErr w:type="spellEnd"/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주소 기재 (공개 유지 조건)]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OpenAI Codex 계열 도구를 코드 작성·문서화·리뷰 보조에 활용. 모든 변경은 테스트·typecheck·lint·negative controls로 검증했으며 상용 AI API는 제품 runtime 필수 의존성이 아님.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