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A9FD66F" w14:textId="451F37B0" w:rsidR="0077187E" w:rsidRDefault="0077187E" w:rsidP="00E8785F">
      <w:r>
        <w:t xml:space="preserve">Please Review the Guidelines for Iron Imaging at 1.5T before proceeding. This document only presents those features that are different at 3.0 Tesla. </w:t>
      </w:r>
    </w:p>
    <w:p w14:paraId="3FB6065F" w14:textId="77777777" w:rsidR="0077187E" w:rsidRDefault="0077187E" w:rsidP="00E8785F"/>
    <w:p w14:paraId="59A83839" w14:textId="2581C205" w:rsidR="0077187E" w:rsidRPr="0077187E" w:rsidRDefault="0077187E" w:rsidP="00E8785F">
      <w:pPr>
        <w:rPr>
          <w:b/>
        </w:rPr>
      </w:pPr>
      <w:r w:rsidRPr="0077187E">
        <w:rPr>
          <w:b/>
        </w:rPr>
        <w:t>Cardiac Imaging</w:t>
      </w:r>
    </w:p>
    <w:p w14:paraId="7DFCEF16" w14:textId="20CA2738" w:rsidR="0077187E" w:rsidRDefault="0077187E" w:rsidP="00E8785F">
      <w:r>
        <w:t>Cardiac protocols developed at 1.5 Tesla can be successfully used at 3.0 Tesla without modification. However, the following points are important</w:t>
      </w:r>
    </w:p>
    <w:p w14:paraId="5136077D" w14:textId="0F2A6482" w:rsidR="0077187E" w:rsidRDefault="0077187E" w:rsidP="0077187E">
      <w:pPr>
        <w:pStyle w:val="ListParagraph"/>
        <w:numPr>
          <w:ilvl w:val="0"/>
          <w:numId w:val="9"/>
        </w:numPr>
      </w:pPr>
      <w:r>
        <w:t>Volume specific shim (localized just on the heart) will reduce spurious decreases in cardiac T2* value.</w:t>
      </w:r>
    </w:p>
    <w:p w14:paraId="20D11E8E" w14:textId="2FDC3035" w:rsidR="0077187E" w:rsidRDefault="0077187E" w:rsidP="0077187E">
      <w:pPr>
        <w:pStyle w:val="ListParagraph"/>
        <w:numPr>
          <w:ilvl w:val="0"/>
          <w:numId w:val="9"/>
        </w:numPr>
      </w:pPr>
      <w:r>
        <w:t xml:space="preserve">Susceptibility effects from </w:t>
      </w:r>
      <w:proofErr w:type="spellStart"/>
      <w:r>
        <w:t>porta-caths</w:t>
      </w:r>
      <w:proofErr w:type="spellEnd"/>
      <w:r>
        <w:t xml:space="preserve"> and lung-heart interface have longer spatial range. It is critical to exclude these regions from ROI during analysis.</w:t>
      </w:r>
    </w:p>
    <w:p w14:paraId="64306694" w14:textId="76DEC9C1" w:rsidR="0077187E" w:rsidRDefault="0077187E" w:rsidP="0077187E">
      <w:pPr>
        <w:pStyle w:val="ListParagraph"/>
        <w:numPr>
          <w:ilvl w:val="0"/>
          <w:numId w:val="9"/>
        </w:numPr>
      </w:pPr>
      <w:r>
        <w:t>Signal decay is two-fold greater at 3.0 Tesla, thus signal truncation when signal intensity approaches the noise floor are crucial.</w:t>
      </w:r>
    </w:p>
    <w:p w14:paraId="46A85C16" w14:textId="77777777" w:rsidR="00B03AF2" w:rsidRDefault="00B03AF2" w:rsidP="0077187E"/>
    <w:p w14:paraId="2D321F12" w14:textId="0BFCF6FE" w:rsidR="0077187E" w:rsidRPr="0077187E" w:rsidRDefault="0077187E" w:rsidP="0077187E">
      <w:pPr>
        <w:rPr>
          <w:b/>
        </w:rPr>
      </w:pPr>
      <w:r w:rsidRPr="0077187E">
        <w:rPr>
          <w:b/>
        </w:rPr>
        <w:t>Liv</w:t>
      </w:r>
      <w:bookmarkStart w:id="0" w:name="_GoBack"/>
      <w:bookmarkEnd w:id="0"/>
      <w:r w:rsidRPr="0077187E">
        <w:rPr>
          <w:b/>
        </w:rPr>
        <w:t>er imaging</w:t>
      </w:r>
      <w:r w:rsidR="0055128D">
        <w:rPr>
          <w:b/>
        </w:rPr>
        <w:t xml:space="preserve"> by standard multiple echo gradient echo</w:t>
      </w:r>
    </w:p>
    <w:p w14:paraId="68967BA7" w14:textId="514DD47B" w:rsidR="0077187E" w:rsidRDefault="0077187E" w:rsidP="00E8785F">
      <w:r>
        <w:t xml:space="preserve">The multiple echo-gradient echo sequence described in the protocols at 1.5T can be used to estimate liver iron concentrations in patients with low and moderate iron burdens. The dynamic range can be extended approximately 20% by collecting one TE per breath-hold using logarithmically spaced echo times. Table 1 summarizes the approximate relationship between minimum echo time and maximum detectable LIC at 3.0 Tesla. </w:t>
      </w:r>
    </w:p>
    <w:p w14:paraId="1517E8E2" w14:textId="77777777" w:rsidR="0077187E" w:rsidRDefault="0077187E" w:rsidP="00E8785F"/>
    <w:p w14:paraId="7967C3A8" w14:textId="70129CD7" w:rsidR="00E8785F" w:rsidRDefault="00E8785F" w:rsidP="00E8785F">
      <w:r>
        <w:t>Echo times will vary depending on the imaging parameters but the following principles should be obeyed.</w:t>
      </w:r>
    </w:p>
    <w:p w14:paraId="1CC9F566" w14:textId="77777777" w:rsidR="00E8785F" w:rsidRDefault="00E8785F" w:rsidP="00E8785F">
      <w:r>
        <w:tab/>
        <w:t xml:space="preserve">#1) Shortest possible first echo at all times. To accomplish this, keep the voxel resolution in the frequency direction low (64-128). Receiver bandwidth should be as high as possible and maximum gradient strength and slew rates should be utilized (in compliance with local regulations). The target is for a minimum echo time near 1 ms. </w:t>
      </w:r>
      <w:proofErr w:type="gramStart"/>
      <w:r>
        <w:t>It</w:t>
      </w:r>
      <w:proofErr w:type="gramEnd"/>
      <w:r>
        <w:t xml:space="preserve"> is also critical to read every echo, not every other echo, during readout. On Philips and Siemens, </w:t>
      </w:r>
      <w:proofErr w:type="gramStart"/>
      <w:r>
        <w:t>this is done by disabling the “</w:t>
      </w:r>
      <w:proofErr w:type="spellStart"/>
      <w:r>
        <w:t>flyback</w:t>
      </w:r>
      <w:proofErr w:type="spellEnd"/>
      <w:r>
        <w:t>” option</w:t>
      </w:r>
      <w:proofErr w:type="gramEnd"/>
      <w:r>
        <w:t xml:space="preserve"> and on General Electric this is controlled by CV18 on the user CV page.</w:t>
      </w:r>
    </w:p>
    <w:p w14:paraId="0AD81D27" w14:textId="77777777" w:rsidR="00E8785F" w:rsidRPr="00E92863" w:rsidRDefault="00E8785F" w:rsidP="00E8785F">
      <w:r>
        <w:tab/>
        <w:t xml:space="preserve">#2) </w:t>
      </w:r>
      <w:proofErr w:type="spellStart"/>
      <w:r>
        <w:t>Interecho</w:t>
      </w:r>
      <w:proofErr w:type="spellEnd"/>
      <w:r>
        <w:t xml:space="preserve"> spacing should also be as short as possible. The number of echoes can be then be adjusted such t</w:t>
      </w:r>
      <w:r w:rsidR="00633AAA">
        <w:t>hat the final echo is between 7 and 14 ms</w:t>
      </w:r>
      <w:r>
        <w:t xml:space="preserve">. </w:t>
      </w:r>
      <w:r w:rsidR="00633AAA">
        <w:t xml:space="preserve">If the liver is lightly iron loaded, and one cannot collect more than 8 echoes, it is advisable to adjust the </w:t>
      </w:r>
      <w:proofErr w:type="spellStart"/>
      <w:r w:rsidR="00633AAA">
        <w:t>interecho</w:t>
      </w:r>
      <w:proofErr w:type="spellEnd"/>
      <w:r w:rsidR="00633AAA">
        <w:t xml:space="preserve"> spacing such that the final extends to </w:t>
      </w:r>
      <w:r w:rsidR="00745337">
        <w:t>around</w:t>
      </w:r>
      <w:r w:rsidR="00633AAA">
        <w:t xml:space="preserve"> 14 ms. </w:t>
      </w:r>
    </w:p>
    <w:p w14:paraId="1FE32581" w14:textId="77777777" w:rsidR="00745337" w:rsidRDefault="00745337" w:rsidP="00E8785F">
      <w:pPr>
        <w:rPr>
          <w:b/>
          <w:bCs/>
        </w:rPr>
      </w:pPr>
    </w:p>
    <w:p w14:paraId="68229283" w14:textId="77777777" w:rsidR="00E8785F" w:rsidRPr="0055128D" w:rsidRDefault="0077187E" w:rsidP="00E8785F">
      <w:pPr>
        <w:rPr>
          <w:bCs/>
          <w:i/>
        </w:rPr>
      </w:pPr>
      <w:r w:rsidRPr="0055128D">
        <w:rPr>
          <w:bCs/>
          <w:i/>
          <w:noProof/>
        </w:rPr>
        <w:pict w14:anchorId="42C9D53D">
          <v:shapetype id="_x0000_t202" coordsize="21600,21600" o:spt="202" path="m0,0l0,21600,21600,21600,21600,0xe">
            <v:stroke joinstyle="miter"/>
            <v:path gradientshapeok="t" o:connecttype="rect"/>
          </v:shapetype>
          <v:shape id="_x0000_s1026" type="#_x0000_t202" style="position:absolute;margin-left:4in;margin-top:1.05pt;width:162pt;height:198pt;z-index:251658240;mso-wrap-edited:f" wrapcoords="0 0 21600 0 21600 21600 0 21600 0 0" filled="f" stroked="f">
            <v:fill o:detectmouseclick="t"/>
            <v:textbox inset=",7.2pt,,7.2pt">
              <w:txbxContent>
                <w:tbl>
                  <w:tblPr>
                    <w:tblStyle w:val="TableGrid"/>
                    <w:tblW w:w="0" w:type="auto"/>
                    <w:tblLook w:val="00A0" w:firstRow="1" w:lastRow="0" w:firstColumn="1" w:lastColumn="0" w:noHBand="0" w:noVBand="0"/>
                  </w:tblPr>
                  <w:tblGrid>
                    <w:gridCol w:w="1483"/>
                    <w:gridCol w:w="1484"/>
                  </w:tblGrid>
                  <w:tr w:rsidR="0055128D" w14:paraId="464D698E" w14:textId="77777777">
                    <w:tc>
                      <w:tcPr>
                        <w:tcW w:w="1483" w:type="dxa"/>
                      </w:tcPr>
                      <w:p w14:paraId="406750F1" w14:textId="77777777" w:rsidR="0055128D" w:rsidRDefault="0055128D">
                        <w:r>
                          <w:t>1</w:t>
                        </w:r>
                        <w:r w:rsidRPr="00F64155">
                          <w:rPr>
                            <w:vertAlign w:val="superscript"/>
                          </w:rPr>
                          <w:t>st</w:t>
                        </w:r>
                        <w:r>
                          <w:t xml:space="preserve"> Echo Time</w:t>
                        </w:r>
                      </w:p>
                    </w:tc>
                    <w:tc>
                      <w:tcPr>
                        <w:tcW w:w="1484" w:type="dxa"/>
                      </w:tcPr>
                      <w:p w14:paraId="5698FDCC" w14:textId="77777777" w:rsidR="0055128D" w:rsidRDefault="0055128D">
                        <w:r>
                          <w:t>Maximum LIC</w:t>
                        </w:r>
                      </w:p>
                    </w:tc>
                  </w:tr>
                  <w:tr w:rsidR="0055128D" w14:paraId="1350E41C" w14:textId="77777777">
                    <w:tc>
                      <w:tcPr>
                        <w:tcW w:w="1483" w:type="dxa"/>
                      </w:tcPr>
                      <w:p w14:paraId="22D73C63" w14:textId="77777777" w:rsidR="0055128D" w:rsidRPr="00ED032E" w:rsidRDefault="0055128D" w:rsidP="004C2D3F">
                        <w:pPr>
                          <w:jc w:val="center"/>
                        </w:pPr>
                        <w:r w:rsidRPr="00ED032E">
                          <w:t>0.6</w:t>
                        </w:r>
                      </w:p>
                    </w:tc>
                    <w:tc>
                      <w:tcPr>
                        <w:tcW w:w="1484" w:type="dxa"/>
                      </w:tcPr>
                      <w:p w14:paraId="3634669A" w14:textId="144E8584" w:rsidR="0055128D" w:rsidRPr="00ED032E" w:rsidRDefault="0055128D" w:rsidP="004C2D3F">
                        <w:pPr>
                          <w:jc w:val="center"/>
                        </w:pPr>
                        <w:r>
                          <w:t>32</w:t>
                        </w:r>
                      </w:p>
                    </w:tc>
                  </w:tr>
                  <w:tr w:rsidR="0055128D" w14:paraId="5BEF2E73" w14:textId="77777777">
                    <w:tc>
                      <w:tcPr>
                        <w:tcW w:w="1483" w:type="dxa"/>
                      </w:tcPr>
                      <w:p w14:paraId="214BC88F" w14:textId="77777777" w:rsidR="0055128D" w:rsidRPr="00ED032E" w:rsidRDefault="0055128D" w:rsidP="004C2D3F">
                        <w:pPr>
                          <w:jc w:val="center"/>
                        </w:pPr>
                        <w:r w:rsidRPr="00ED032E">
                          <w:t>0.7</w:t>
                        </w:r>
                      </w:p>
                    </w:tc>
                    <w:tc>
                      <w:tcPr>
                        <w:tcW w:w="1484" w:type="dxa"/>
                      </w:tcPr>
                      <w:p w14:paraId="7359ED3D" w14:textId="6D34476F" w:rsidR="0055128D" w:rsidRPr="00ED032E" w:rsidRDefault="0055128D" w:rsidP="004C2D3F">
                        <w:pPr>
                          <w:jc w:val="center"/>
                        </w:pPr>
                        <w:r>
                          <w:t>27</w:t>
                        </w:r>
                      </w:p>
                    </w:tc>
                  </w:tr>
                  <w:tr w:rsidR="0055128D" w14:paraId="691EBE11" w14:textId="77777777">
                    <w:tc>
                      <w:tcPr>
                        <w:tcW w:w="1483" w:type="dxa"/>
                      </w:tcPr>
                      <w:p w14:paraId="01D5E432" w14:textId="77777777" w:rsidR="0055128D" w:rsidRPr="00ED032E" w:rsidRDefault="0055128D" w:rsidP="004C2D3F">
                        <w:pPr>
                          <w:jc w:val="center"/>
                        </w:pPr>
                        <w:r w:rsidRPr="00ED032E">
                          <w:t>0.8</w:t>
                        </w:r>
                      </w:p>
                    </w:tc>
                    <w:tc>
                      <w:tcPr>
                        <w:tcW w:w="1484" w:type="dxa"/>
                      </w:tcPr>
                      <w:p w14:paraId="05A013A8" w14:textId="25967D59" w:rsidR="0055128D" w:rsidRPr="00ED032E" w:rsidRDefault="0055128D" w:rsidP="004C2D3F">
                        <w:pPr>
                          <w:jc w:val="center"/>
                        </w:pPr>
                        <w:r>
                          <w:t>24</w:t>
                        </w:r>
                      </w:p>
                    </w:tc>
                  </w:tr>
                  <w:tr w:rsidR="0055128D" w14:paraId="08E252D7" w14:textId="77777777">
                    <w:tc>
                      <w:tcPr>
                        <w:tcW w:w="1483" w:type="dxa"/>
                      </w:tcPr>
                      <w:p w14:paraId="5B6E7F30" w14:textId="77777777" w:rsidR="0055128D" w:rsidRPr="00ED032E" w:rsidRDefault="0055128D" w:rsidP="004C2D3F">
                        <w:pPr>
                          <w:jc w:val="center"/>
                        </w:pPr>
                        <w:r w:rsidRPr="00ED032E">
                          <w:t>0.9</w:t>
                        </w:r>
                      </w:p>
                    </w:tc>
                    <w:tc>
                      <w:tcPr>
                        <w:tcW w:w="1484" w:type="dxa"/>
                      </w:tcPr>
                      <w:p w14:paraId="39122A02" w14:textId="33E94408" w:rsidR="0055128D" w:rsidRPr="00ED032E" w:rsidRDefault="0055128D" w:rsidP="004C2D3F">
                        <w:pPr>
                          <w:jc w:val="center"/>
                        </w:pPr>
                        <w:r>
                          <w:t>21</w:t>
                        </w:r>
                      </w:p>
                    </w:tc>
                  </w:tr>
                  <w:tr w:rsidR="0055128D" w14:paraId="235AB3B5" w14:textId="77777777">
                    <w:tc>
                      <w:tcPr>
                        <w:tcW w:w="1483" w:type="dxa"/>
                      </w:tcPr>
                      <w:p w14:paraId="6D90B9DA" w14:textId="77777777" w:rsidR="0055128D" w:rsidRPr="00ED032E" w:rsidRDefault="0055128D" w:rsidP="004C2D3F">
                        <w:pPr>
                          <w:jc w:val="center"/>
                        </w:pPr>
                        <w:r w:rsidRPr="00ED032E">
                          <w:t>1.0</w:t>
                        </w:r>
                      </w:p>
                    </w:tc>
                    <w:tc>
                      <w:tcPr>
                        <w:tcW w:w="1484" w:type="dxa"/>
                      </w:tcPr>
                      <w:p w14:paraId="6436BF6D" w14:textId="3A970EDC" w:rsidR="0055128D" w:rsidRPr="00ED032E" w:rsidRDefault="0055128D" w:rsidP="004C2D3F">
                        <w:pPr>
                          <w:jc w:val="center"/>
                        </w:pPr>
                        <w:r>
                          <w:t>19</w:t>
                        </w:r>
                      </w:p>
                    </w:tc>
                  </w:tr>
                  <w:tr w:rsidR="0055128D" w14:paraId="7404B1D0" w14:textId="77777777">
                    <w:tc>
                      <w:tcPr>
                        <w:tcW w:w="1483" w:type="dxa"/>
                      </w:tcPr>
                      <w:p w14:paraId="69ACEAF0" w14:textId="77777777" w:rsidR="0055128D" w:rsidRDefault="0055128D" w:rsidP="004C2D3F">
                        <w:pPr>
                          <w:jc w:val="center"/>
                        </w:pPr>
                        <w:r>
                          <w:t>1.1</w:t>
                        </w:r>
                      </w:p>
                    </w:tc>
                    <w:tc>
                      <w:tcPr>
                        <w:tcW w:w="1484" w:type="dxa"/>
                      </w:tcPr>
                      <w:p w14:paraId="29BDDE44" w14:textId="40B38AC7" w:rsidR="0055128D" w:rsidRDefault="0055128D" w:rsidP="004C2D3F">
                        <w:pPr>
                          <w:jc w:val="center"/>
                        </w:pPr>
                        <w:r>
                          <w:t>17</w:t>
                        </w:r>
                      </w:p>
                    </w:tc>
                  </w:tr>
                  <w:tr w:rsidR="0055128D" w14:paraId="02D679B6" w14:textId="77777777">
                    <w:tc>
                      <w:tcPr>
                        <w:tcW w:w="1483" w:type="dxa"/>
                      </w:tcPr>
                      <w:p w14:paraId="732673F7" w14:textId="77777777" w:rsidR="0055128D" w:rsidRDefault="0055128D" w:rsidP="004C2D3F">
                        <w:pPr>
                          <w:jc w:val="center"/>
                        </w:pPr>
                        <w:r>
                          <w:t>1.2</w:t>
                        </w:r>
                      </w:p>
                    </w:tc>
                    <w:tc>
                      <w:tcPr>
                        <w:tcW w:w="1484" w:type="dxa"/>
                      </w:tcPr>
                      <w:p w14:paraId="253BD13B" w14:textId="1F5E1B3E" w:rsidR="0055128D" w:rsidRDefault="0055128D" w:rsidP="004C2D3F">
                        <w:pPr>
                          <w:jc w:val="center"/>
                        </w:pPr>
                        <w:r>
                          <w:t>16</w:t>
                        </w:r>
                      </w:p>
                    </w:tc>
                  </w:tr>
                  <w:tr w:rsidR="0055128D" w14:paraId="023E3706" w14:textId="77777777">
                    <w:tc>
                      <w:tcPr>
                        <w:tcW w:w="1483" w:type="dxa"/>
                      </w:tcPr>
                      <w:p w14:paraId="7907F436" w14:textId="77777777" w:rsidR="0055128D" w:rsidRDefault="0055128D" w:rsidP="004C2D3F">
                        <w:pPr>
                          <w:jc w:val="center"/>
                        </w:pPr>
                        <w:r>
                          <w:t>1.3</w:t>
                        </w:r>
                      </w:p>
                    </w:tc>
                    <w:tc>
                      <w:tcPr>
                        <w:tcW w:w="1484" w:type="dxa"/>
                      </w:tcPr>
                      <w:p w14:paraId="4130A532" w14:textId="75A469C3" w:rsidR="0055128D" w:rsidRDefault="0055128D" w:rsidP="004C2D3F">
                        <w:pPr>
                          <w:jc w:val="center"/>
                        </w:pPr>
                        <w:r>
                          <w:t>14</w:t>
                        </w:r>
                      </w:p>
                    </w:tc>
                  </w:tr>
                  <w:tr w:rsidR="0055128D" w14:paraId="2AB556F6" w14:textId="77777777">
                    <w:tc>
                      <w:tcPr>
                        <w:tcW w:w="1483" w:type="dxa"/>
                      </w:tcPr>
                      <w:p w14:paraId="27D19C13" w14:textId="77777777" w:rsidR="0055128D" w:rsidRDefault="0055128D" w:rsidP="004C2D3F">
                        <w:pPr>
                          <w:jc w:val="center"/>
                        </w:pPr>
                        <w:r>
                          <w:t>1.4</w:t>
                        </w:r>
                      </w:p>
                    </w:tc>
                    <w:tc>
                      <w:tcPr>
                        <w:tcW w:w="1484" w:type="dxa"/>
                      </w:tcPr>
                      <w:p w14:paraId="2F5D55E7" w14:textId="55D54DF7" w:rsidR="0055128D" w:rsidRDefault="0055128D" w:rsidP="004C2D3F">
                        <w:pPr>
                          <w:jc w:val="center"/>
                        </w:pPr>
                        <w:r>
                          <w:t>13</w:t>
                        </w:r>
                      </w:p>
                    </w:tc>
                  </w:tr>
                  <w:tr w:rsidR="0055128D" w14:paraId="49CE0286" w14:textId="77777777">
                    <w:tc>
                      <w:tcPr>
                        <w:tcW w:w="1483" w:type="dxa"/>
                      </w:tcPr>
                      <w:p w14:paraId="09D5DF41" w14:textId="77777777" w:rsidR="0055128D" w:rsidRDefault="0055128D" w:rsidP="004C2D3F">
                        <w:pPr>
                          <w:jc w:val="center"/>
                        </w:pPr>
                        <w:r>
                          <w:t>1.5</w:t>
                        </w:r>
                      </w:p>
                    </w:tc>
                    <w:tc>
                      <w:tcPr>
                        <w:tcW w:w="1484" w:type="dxa"/>
                      </w:tcPr>
                      <w:p w14:paraId="6CE289D1" w14:textId="34BF4C72" w:rsidR="0055128D" w:rsidRDefault="0055128D" w:rsidP="004C2D3F">
                        <w:pPr>
                          <w:jc w:val="center"/>
                        </w:pPr>
                        <w:r>
                          <w:t>12</w:t>
                        </w:r>
                      </w:p>
                    </w:tc>
                  </w:tr>
                  <w:tr w:rsidR="0055128D" w14:paraId="5A7E4FA2" w14:textId="77777777">
                    <w:tc>
                      <w:tcPr>
                        <w:tcW w:w="1483" w:type="dxa"/>
                      </w:tcPr>
                      <w:p w14:paraId="7F43A239" w14:textId="77777777" w:rsidR="0055128D" w:rsidRDefault="0055128D" w:rsidP="004C2D3F">
                        <w:pPr>
                          <w:jc w:val="center"/>
                        </w:pPr>
                        <w:r>
                          <w:t>1.6</w:t>
                        </w:r>
                      </w:p>
                    </w:tc>
                    <w:tc>
                      <w:tcPr>
                        <w:tcW w:w="1484" w:type="dxa"/>
                      </w:tcPr>
                      <w:p w14:paraId="60B352DA" w14:textId="51F062C0" w:rsidR="0055128D" w:rsidRDefault="0055128D" w:rsidP="004C2D3F">
                        <w:pPr>
                          <w:jc w:val="center"/>
                        </w:pPr>
                        <w:r>
                          <w:t>11.5</w:t>
                        </w:r>
                      </w:p>
                    </w:tc>
                  </w:tr>
                  <w:tr w:rsidR="0055128D" w14:paraId="73315065" w14:textId="77777777">
                    <w:tc>
                      <w:tcPr>
                        <w:tcW w:w="1483" w:type="dxa"/>
                      </w:tcPr>
                      <w:p w14:paraId="3AC1DCE8" w14:textId="77777777" w:rsidR="0055128D" w:rsidRDefault="0055128D" w:rsidP="004C2D3F">
                        <w:pPr>
                          <w:jc w:val="center"/>
                        </w:pPr>
                        <w:r>
                          <w:t>1.8</w:t>
                        </w:r>
                      </w:p>
                    </w:tc>
                    <w:tc>
                      <w:tcPr>
                        <w:tcW w:w="1484" w:type="dxa"/>
                      </w:tcPr>
                      <w:p w14:paraId="3A448F11" w14:textId="5E58C248" w:rsidR="0055128D" w:rsidRDefault="0055128D" w:rsidP="004C2D3F">
                        <w:pPr>
                          <w:jc w:val="center"/>
                        </w:pPr>
                        <w:r>
                          <w:t>10</w:t>
                        </w:r>
                      </w:p>
                    </w:tc>
                  </w:tr>
                  <w:tr w:rsidR="0055128D" w14:paraId="36B5F13B" w14:textId="77777777">
                    <w:tc>
                      <w:tcPr>
                        <w:tcW w:w="1483" w:type="dxa"/>
                      </w:tcPr>
                      <w:p w14:paraId="45E62EFF" w14:textId="77777777" w:rsidR="0055128D" w:rsidRDefault="0055128D" w:rsidP="004C2D3F">
                        <w:pPr>
                          <w:jc w:val="center"/>
                        </w:pPr>
                        <w:r>
                          <w:t>2.0</w:t>
                        </w:r>
                      </w:p>
                    </w:tc>
                    <w:tc>
                      <w:tcPr>
                        <w:tcW w:w="1484" w:type="dxa"/>
                      </w:tcPr>
                      <w:p w14:paraId="2AA5D3AA" w14:textId="14C4D294" w:rsidR="0055128D" w:rsidRDefault="0055128D" w:rsidP="004C2D3F">
                        <w:pPr>
                          <w:jc w:val="center"/>
                        </w:pPr>
                        <w:r>
                          <w:t>9.5</w:t>
                        </w:r>
                      </w:p>
                    </w:tc>
                  </w:tr>
                </w:tbl>
                <w:p w14:paraId="7CF4416B" w14:textId="77777777" w:rsidR="0055128D" w:rsidRDefault="0055128D"/>
              </w:txbxContent>
            </v:textbox>
            <w10:wrap type="tight"/>
          </v:shape>
        </w:pict>
      </w:r>
      <w:r w:rsidR="00745337" w:rsidRPr="0055128D">
        <w:rPr>
          <w:bCs/>
          <w:i/>
        </w:rPr>
        <w:t xml:space="preserve">It is critical to understand that the echo spacing determines the dynamic range of liver iron than can be measured. Table 1 demonstrates the approximate maximum LIC that can be estimated for a given minimum echo time and echo spacing.  Patients with LIC values greater than this threshold will have livers that appear exceedingly darker on the first echo time. Any patient with a liver-skeletal muscle signal ratio &lt; </w:t>
      </w:r>
      <w:r w:rsidR="00F64155" w:rsidRPr="0055128D">
        <w:rPr>
          <w:bCs/>
          <w:i/>
        </w:rPr>
        <w:t xml:space="preserve">0.5 </w:t>
      </w:r>
      <w:r w:rsidR="00745337" w:rsidRPr="0055128D">
        <w:rPr>
          <w:bCs/>
          <w:i/>
        </w:rPr>
        <w:t xml:space="preserve">on the first echo time should be considered at risk for LIC underestimation. </w:t>
      </w:r>
      <w:r w:rsidR="00E8785F" w:rsidRPr="0055128D">
        <w:rPr>
          <w:bCs/>
          <w:i/>
        </w:rPr>
        <w:br w:type="page"/>
      </w:r>
    </w:p>
    <w:p w14:paraId="492C5E75" w14:textId="77777777" w:rsidR="0055128D" w:rsidRPr="0055128D" w:rsidRDefault="0055128D" w:rsidP="00E8785F">
      <w:pPr>
        <w:rPr>
          <w:b/>
        </w:rPr>
      </w:pPr>
      <w:r w:rsidRPr="0055128D">
        <w:rPr>
          <w:b/>
        </w:rPr>
        <w:t xml:space="preserve">Liver R2* by </w:t>
      </w:r>
      <w:proofErr w:type="spellStart"/>
      <w:r w:rsidRPr="0055128D">
        <w:rPr>
          <w:b/>
        </w:rPr>
        <w:t>Ultrashort</w:t>
      </w:r>
      <w:proofErr w:type="spellEnd"/>
      <w:r w:rsidRPr="0055128D">
        <w:rPr>
          <w:b/>
        </w:rPr>
        <w:t xml:space="preserve"> TE techniques </w:t>
      </w:r>
    </w:p>
    <w:p w14:paraId="3B2987D9" w14:textId="00D38F98" w:rsidR="00B03AF2" w:rsidRDefault="00B03AF2" w:rsidP="00E8785F">
      <w:r>
        <w:t>Our group and Claudia Hi</w:t>
      </w:r>
      <w:r w:rsidR="0055128D">
        <w:t xml:space="preserve">llenbrand’s group independently validated </w:t>
      </w:r>
      <w:proofErr w:type="spellStart"/>
      <w:r w:rsidR="0055128D">
        <w:t>Ultrashort</w:t>
      </w:r>
      <w:proofErr w:type="spellEnd"/>
      <w:r w:rsidR="0055128D">
        <w:t xml:space="preserve"> TE as a viable approach for liver iron quantification over the entire dynamic range. UTE sequences are available as Works-In-Progress on Philips</w:t>
      </w:r>
      <w:r>
        <w:t xml:space="preserve"> </w:t>
      </w:r>
      <w:r w:rsidR="0055128D">
        <w:t xml:space="preserve">and Siemens products. As such, they can only currently be used under IRB approved research studies. The techniques have some key differences across the three vendors and phantom validation is essential to confirm that the sequences are configured correctly. </w:t>
      </w:r>
      <w:r>
        <w:t>I also recommend that the references provided in the UTE folder be reviewed carefully.</w:t>
      </w:r>
    </w:p>
    <w:p w14:paraId="0B2C650C" w14:textId="77777777" w:rsidR="00B03AF2" w:rsidRDefault="00B03AF2" w:rsidP="00E8785F"/>
    <w:p w14:paraId="599203FC" w14:textId="434D651A" w:rsidR="00B06C16" w:rsidRPr="00B06C16" w:rsidRDefault="0055128D" w:rsidP="00E8785F">
      <w:pPr>
        <w:rPr>
          <w:b/>
        </w:rPr>
      </w:pPr>
      <w:r>
        <w:t xml:space="preserve">An exam card for the </w:t>
      </w:r>
      <w:r w:rsidR="00B03AF2">
        <w:t>Philips UTE sequence is provided in the Pulse Sequence folder. Investigators interested in the Siemens solution should contact Dr. Claudia Hillenbrand directly (</w:t>
      </w:r>
      <w:r w:rsidR="00B03AF2" w:rsidRPr="00B03AF2">
        <w:t>Claudia.Hillenbrand@STJUDE.ORG</w:t>
      </w:r>
      <w:r w:rsidR="00B03AF2">
        <w:t xml:space="preserve">). </w:t>
      </w:r>
      <w:r>
        <w:t xml:space="preserve"> </w:t>
      </w:r>
      <w:r w:rsidR="00B03AF2">
        <w:t xml:space="preserve">General Electric supported a UTE WIP sequence in the past. Interested investigators should work through their GE Research Support representative. </w:t>
      </w:r>
      <w:r w:rsidR="00B06C16">
        <w:br w:type="page"/>
      </w:r>
      <w:r w:rsidR="00B06C16" w:rsidRPr="00B06C16">
        <w:rPr>
          <w:b/>
        </w:rPr>
        <w:t>References</w:t>
      </w:r>
    </w:p>
    <w:p w14:paraId="5D1546B9" w14:textId="77777777" w:rsidR="00B06C16" w:rsidRDefault="00B06C16" w:rsidP="00E8785F"/>
    <w:p w14:paraId="4FC6A0D6" w14:textId="77777777" w:rsidR="00B06C16" w:rsidRPr="00B06C16" w:rsidRDefault="00B06C16" w:rsidP="00B06C16">
      <w:pPr>
        <w:pStyle w:val="EndNoteBibliography"/>
        <w:rPr>
          <w:noProof/>
        </w:rPr>
      </w:pPr>
      <w:r>
        <w:fldChar w:fldCharType="begin"/>
      </w:r>
      <w:r>
        <w:instrText xml:space="preserve"> ADDIN EN.REFLIST </w:instrText>
      </w:r>
      <w:r>
        <w:fldChar w:fldCharType="separate"/>
      </w:r>
      <w:r w:rsidRPr="00B06C16">
        <w:rPr>
          <w:noProof/>
        </w:rPr>
        <w:t>1.</w:t>
      </w:r>
      <w:r w:rsidRPr="00B06C16">
        <w:rPr>
          <w:noProof/>
        </w:rPr>
        <w:tab/>
        <w:t xml:space="preserve">Garbowski MW, Carpenter JP, Smith G, et al. Biopsy-based calibration of T2* magnetic resonance for estimation of liver iron concentration and comparison with R2 Ferriscan. </w:t>
      </w:r>
      <w:r w:rsidRPr="00B06C16">
        <w:rPr>
          <w:i/>
          <w:noProof/>
        </w:rPr>
        <w:t>J Cardiovasc Magn Reson</w:t>
      </w:r>
      <w:r w:rsidRPr="00B06C16">
        <w:rPr>
          <w:noProof/>
        </w:rPr>
        <w:t>. 2014;16:40.</w:t>
      </w:r>
    </w:p>
    <w:p w14:paraId="01B17D29" w14:textId="77777777" w:rsidR="00B06C16" w:rsidRPr="00B06C16" w:rsidRDefault="00B06C16" w:rsidP="00B06C16">
      <w:pPr>
        <w:pStyle w:val="EndNoteBibliography"/>
        <w:rPr>
          <w:noProof/>
        </w:rPr>
      </w:pPr>
      <w:r w:rsidRPr="00B06C16">
        <w:rPr>
          <w:noProof/>
        </w:rPr>
        <w:t>2.</w:t>
      </w:r>
      <w:r w:rsidRPr="00B06C16">
        <w:rPr>
          <w:noProof/>
        </w:rPr>
        <w:tab/>
        <w:t xml:space="preserve">Fernandes JL, Fioravante LAB, Verissimo MP, Loggetto SR. A free software for the calculation of T2* values for iron overload assessment. </w:t>
      </w:r>
      <w:r w:rsidRPr="00B06C16">
        <w:rPr>
          <w:i/>
          <w:noProof/>
        </w:rPr>
        <w:t>Acta Radiol</w:t>
      </w:r>
      <w:r w:rsidRPr="00B06C16">
        <w:rPr>
          <w:noProof/>
        </w:rPr>
        <w:t>. 2017;58(6):698-701.</w:t>
      </w:r>
    </w:p>
    <w:p w14:paraId="39AAF9E7" w14:textId="77777777" w:rsidR="00B06C16" w:rsidRPr="00B06C16" w:rsidRDefault="00B06C16" w:rsidP="00B06C16">
      <w:pPr>
        <w:pStyle w:val="EndNoteBibliography"/>
        <w:rPr>
          <w:noProof/>
        </w:rPr>
      </w:pPr>
      <w:r w:rsidRPr="00B06C16">
        <w:rPr>
          <w:noProof/>
        </w:rPr>
        <w:t>3.</w:t>
      </w:r>
      <w:r w:rsidRPr="00B06C16">
        <w:rPr>
          <w:noProof/>
        </w:rPr>
        <w:tab/>
        <w:t xml:space="preserve">Git KA, Fioravante LA, Fernandes JL. An online open-source tool for automated quantification of liver and myocardial iron concentrations by T2* magnetic resonance imaging. </w:t>
      </w:r>
      <w:r w:rsidRPr="00B06C16">
        <w:rPr>
          <w:i/>
          <w:noProof/>
        </w:rPr>
        <w:t>Br J Radiol</w:t>
      </w:r>
      <w:r w:rsidRPr="00B06C16">
        <w:rPr>
          <w:noProof/>
        </w:rPr>
        <w:t>. 2015;88(1053):20150269.</w:t>
      </w:r>
    </w:p>
    <w:p w14:paraId="7E85A6B6" w14:textId="77777777" w:rsidR="00B06C16" w:rsidRPr="00B06C16" w:rsidRDefault="00B06C16" w:rsidP="00B06C16">
      <w:pPr>
        <w:pStyle w:val="EndNoteBibliography"/>
        <w:rPr>
          <w:noProof/>
        </w:rPr>
      </w:pPr>
      <w:r w:rsidRPr="00B06C16">
        <w:rPr>
          <w:noProof/>
        </w:rPr>
        <w:t>4.</w:t>
      </w:r>
      <w:r w:rsidRPr="00B06C16">
        <w:rPr>
          <w:noProof/>
        </w:rPr>
        <w:tab/>
        <w:t xml:space="preserve">Wood JC, Enriquez C, Ghugre N, et al. MRI R2 and R2* mapping accurately estimates hepatic iron concentration in transfusion-dependent thalassemia and sickle cell disease patients. </w:t>
      </w:r>
      <w:r w:rsidRPr="00B06C16">
        <w:rPr>
          <w:i/>
          <w:noProof/>
        </w:rPr>
        <w:t>Blood</w:t>
      </w:r>
      <w:r w:rsidRPr="00B06C16">
        <w:rPr>
          <w:noProof/>
        </w:rPr>
        <w:t>. 2005;106(4):1460-1465.</w:t>
      </w:r>
    </w:p>
    <w:p w14:paraId="4FDDFCA3" w14:textId="77777777" w:rsidR="00B06C16" w:rsidRPr="00B06C16" w:rsidRDefault="00B06C16" w:rsidP="00B06C16">
      <w:pPr>
        <w:pStyle w:val="EndNoteBibliography"/>
        <w:rPr>
          <w:noProof/>
        </w:rPr>
      </w:pPr>
      <w:r w:rsidRPr="00B06C16">
        <w:rPr>
          <w:noProof/>
        </w:rPr>
        <w:t>5.</w:t>
      </w:r>
      <w:r w:rsidRPr="00B06C16">
        <w:rPr>
          <w:noProof/>
        </w:rPr>
        <w:tab/>
        <w:t xml:space="preserve">Meloni A, Zmyewski H, Rienhoff HY, Jr., et al. Fast approximation to pixelwise relaxivity maps: validation in iron overloaded subjects. </w:t>
      </w:r>
      <w:r w:rsidRPr="00B06C16">
        <w:rPr>
          <w:i/>
          <w:noProof/>
        </w:rPr>
        <w:t>Magn Reson Imaging</w:t>
      </w:r>
      <w:r w:rsidRPr="00B06C16">
        <w:rPr>
          <w:noProof/>
        </w:rPr>
        <w:t>. 2013;31(7):1074-1080.</w:t>
      </w:r>
    </w:p>
    <w:p w14:paraId="5E6F5D89" w14:textId="77777777" w:rsidR="00B06C16" w:rsidRPr="00B06C16" w:rsidRDefault="00B06C16" w:rsidP="00B06C16">
      <w:pPr>
        <w:pStyle w:val="EndNoteBibliography"/>
        <w:rPr>
          <w:noProof/>
        </w:rPr>
      </w:pPr>
      <w:r w:rsidRPr="00B06C16">
        <w:rPr>
          <w:noProof/>
        </w:rPr>
        <w:t>6.</w:t>
      </w:r>
      <w:r w:rsidRPr="00B06C16">
        <w:rPr>
          <w:noProof/>
        </w:rPr>
        <w:tab/>
        <w:t xml:space="preserve">Positano V, Salani B, Pepe A, et al. Improved T2* assessment in liver iron overload by magnetic resonance imaging. </w:t>
      </w:r>
      <w:r w:rsidRPr="00B06C16">
        <w:rPr>
          <w:i/>
          <w:noProof/>
        </w:rPr>
        <w:t>Magn Reson Imaging</w:t>
      </w:r>
      <w:r w:rsidRPr="00B06C16">
        <w:rPr>
          <w:noProof/>
        </w:rPr>
        <w:t>. 2009;27(2):188-197.</w:t>
      </w:r>
    </w:p>
    <w:p w14:paraId="0DA0AFD3" w14:textId="77777777" w:rsidR="00B06C16" w:rsidRPr="00B06C16" w:rsidRDefault="00B06C16" w:rsidP="00B06C16">
      <w:pPr>
        <w:pStyle w:val="EndNoteBibliography"/>
        <w:rPr>
          <w:noProof/>
        </w:rPr>
      </w:pPr>
      <w:r w:rsidRPr="00B06C16">
        <w:rPr>
          <w:noProof/>
        </w:rPr>
        <w:t>7.</w:t>
      </w:r>
      <w:r w:rsidRPr="00B06C16">
        <w:rPr>
          <w:noProof/>
        </w:rPr>
        <w:tab/>
        <w:t xml:space="preserve">Meloni A, Rienhoff HY, Jr., Jones A, Pepe A, Lombardi M, Wood JC. The use of appropriate calibration curves corrects for systematic differences in liver R2* values measured using different software packages. </w:t>
      </w:r>
      <w:r w:rsidRPr="00B06C16">
        <w:rPr>
          <w:i/>
          <w:noProof/>
        </w:rPr>
        <w:t>Br J Haematol</w:t>
      </w:r>
      <w:r w:rsidRPr="00B06C16">
        <w:rPr>
          <w:noProof/>
        </w:rPr>
        <w:t>. 2013;161(6):888-891.</w:t>
      </w:r>
    </w:p>
    <w:p w14:paraId="6B787AC7" w14:textId="2B58ED9F" w:rsidR="00745337" w:rsidRDefault="00B06C16" w:rsidP="00E8785F">
      <w:r>
        <w:fldChar w:fldCharType="end"/>
      </w:r>
    </w:p>
    <w:sectPr w:rsidR="00745337" w:rsidSect="0074533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6D221C8"/>
    <w:multiLevelType w:val="hybridMultilevel"/>
    <w:tmpl w:val="3B14F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551F2F"/>
    <w:multiLevelType w:val="hybridMultilevel"/>
    <w:tmpl w:val="41B049B4"/>
    <w:lvl w:ilvl="0" w:tplc="3FF4FABA">
      <w:start w:val="1"/>
      <w:numFmt w:val="decimal"/>
      <w:lvlText w:val="%1."/>
      <w:lvlJc w:val="left"/>
      <w:pPr>
        <w:ind w:left="1080" w:hanging="360"/>
      </w:pPr>
      <w:rPr>
        <w:rFonts w:asciiTheme="majorHAnsi" w:hAnsiTheme="majorHAnsi" w:cstheme="majorBidi" w:hint="default"/>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D773D"/>
    <w:multiLevelType w:val="hybridMultilevel"/>
    <w:tmpl w:val="8056FF74"/>
    <w:lvl w:ilvl="0" w:tplc="28BE46DA">
      <w:start w:val="2"/>
      <w:numFmt w:val="bullet"/>
      <w:lvlText w:val="-"/>
      <w:lvlJc w:val="left"/>
      <w:pPr>
        <w:ind w:left="720" w:hanging="360"/>
      </w:pPr>
      <w:rPr>
        <w:rFonts w:ascii="Calibri" w:eastAsia="MS Mincho"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A927F72"/>
    <w:multiLevelType w:val="hybridMultilevel"/>
    <w:tmpl w:val="97D69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64803"/>
    <w:multiLevelType w:val="multilevel"/>
    <w:tmpl w:val="3B14F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alibri" w:hint="default"/>
      </w:rPr>
    </w:lvl>
    <w:lvl w:ilvl="8">
      <w:start w:val="1"/>
      <w:numFmt w:val="bullet"/>
      <w:lvlText w:val=""/>
      <w:lvlJc w:val="left"/>
      <w:pPr>
        <w:ind w:left="6480" w:hanging="360"/>
      </w:pPr>
      <w:rPr>
        <w:rFonts w:ascii="Wingdings" w:hAnsi="Wingdings" w:hint="default"/>
      </w:rPr>
    </w:lvl>
  </w:abstractNum>
  <w:abstractNum w:abstractNumId="5">
    <w:nsid w:val="685D0D8F"/>
    <w:multiLevelType w:val="hybridMultilevel"/>
    <w:tmpl w:val="56B6FA7E"/>
    <w:lvl w:ilvl="0" w:tplc="6BDAE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83523A"/>
    <w:multiLevelType w:val="hybridMultilevel"/>
    <w:tmpl w:val="85A2FCA4"/>
    <w:lvl w:ilvl="0" w:tplc="C6C4C808">
      <w:start w:val="1"/>
      <w:numFmt w:val="bullet"/>
      <w:lvlText w:val="•"/>
      <w:lvlJc w:val="left"/>
      <w:pPr>
        <w:tabs>
          <w:tab w:val="num" w:pos="720"/>
        </w:tabs>
        <w:ind w:left="720" w:hanging="360"/>
      </w:pPr>
      <w:rPr>
        <w:rFonts w:ascii="Arial" w:hAnsi="Arial" w:hint="default"/>
      </w:rPr>
    </w:lvl>
    <w:lvl w:ilvl="1" w:tplc="4D38C76C">
      <w:start w:val="1"/>
      <w:numFmt w:val="bullet"/>
      <w:lvlText w:val="•"/>
      <w:lvlJc w:val="left"/>
      <w:pPr>
        <w:tabs>
          <w:tab w:val="num" w:pos="1440"/>
        </w:tabs>
        <w:ind w:left="1440" w:hanging="360"/>
      </w:pPr>
      <w:rPr>
        <w:rFonts w:ascii="Arial" w:hAnsi="Arial" w:hint="default"/>
      </w:rPr>
    </w:lvl>
    <w:lvl w:ilvl="2" w:tplc="EF706346" w:tentative="1">
      <w:start w:val="1"/>
      <w:numFmt w:val="bullet"/>
      <w:lvlText w:val="•"/>
      <w:lvlJc w:val="left"/>
      <w:pPr>
        <w:tabs>
          <w:tab w:val="num" w:pos="2160"/>
        </w:tabs>
        <w:ind w:left="2160" w:hanging="360"/>
      </w:pPr>
      <w:rPr>
        <w:rFonts w:ascii="Arial" w:hAnsi="Arial" w:hint="default"/>
      </w:rPr>
    </w:lvl>
    <w:lvl w:ilvl="3" w:tplc="EBCECCEC" w:tentative="1">
      <w:start w:val="1"/>
      <w:numFmt w:val="bullet"/>
      <w:lvlText w:val="•"/>
      <w:lvlJc w:val="left"/>
      <w:pPr>
        <w:tabs>
          <w:tab w:val="num" w:pos="2880"/>
        </w:tabs>
        <w:ind w:left="2880" w:hanging="360"/>
      </w:pPr>
      <w:rPr>
        <w:rFonts w:ascii="Arial" w:hAnsi="Arial" w:hint="default"/>
      </w:rPr>
    </w:lvl>
    <w:lvl w:ilvl="4" w:tplc="F66C3B4E" w:tentative="1">
      <w:start w:val="1"/>
      <w:numFmt w:val="bullet"/>
      <w:lvlText w:val="•"/>
      <w:lvlJc w:val="left"/>
      <w:pPr>
        <w:tabs>
          <w:tab w:val="num" w:pos="3600"/>
        </w:tabs>
        <w:ind w:left="3600" w:hanging="360"/>
      </w:pPr>
      <w:rPr>
        <w:rFonts w:ascii="Arial" w:hAnsi="Arial" w:hint="default"/>
      </w:rPr>
    </w:lvl>
    <w:lvl w:ilvl="5" w:tplc="A5B4974C" w:tentative="1">
      <w:start w:val="1"/>
      <w:numFmt w:val="bullet"/>
      <w:lvlText w:val="•"/>
      <w:lvlJc w:val="left"/>
      <w:pPr>
        <w:tabs>
          <w:tab w:val="num" w:pos="4320"/>
        </w:tabs>
        <w:ind w:left="4320" w:hanging="360"/>
      </w:pPr>
      <w:rPr>
        <w:rFonts w:ascii="Arial" w:hAnsi="Arial" w:hint="default"/>
      </w:rPr>
    </w:lvl>
    <w:lvl w:ilvl="6" w:tplc="C65C48D6" w:tentative="1">
      <w:start w:val="1"/>
      <w:numFmt w:val="bullet"/>
      <w:lvlText w:val="•"/>
      <w:lvlJc w:val="left"/>
      <w:pPr>
        <w:tabs>
          <w:tab w:val="num" w:pos="5040"/>
        </w:tabs>
        <w:ind w:left="5040" w:hanging="360"/>
      </w:pPr>
      <w:rPr>
        <w:rFonts w:ascii="Arial" w:hAnsi="Arial" w:hint="default"/>
      </w:rPr>
    </w:lvl>
    <w:lvl w:ilvl="7" w:tplc="B750F6CC" w:tentative="1">
      <w:start w:val="1"/>
      <w:numFmt w:val="bullet"/>
      <w:lvlText w:val="•"/>
      <w:lvlJc w:val="left"/>
      <w:pPr>
        <w:tabs>
          <w:tab w:val="num" w:pos="5760"/>
        </w:tabs>
        <w:ind w:left="5760" w:hanging="360"/>
      </w:pPr>
      <w:rPr>
        <w:rFonts w:ascii="Arial" w:hAnsi="Arial" w:hint="default"/>
      </w:rPr>
    </w:lvl>
    <w:lvl w:ilvl="8" w:tplc="78946018" w:tentative="1">
      <w:start w:val="1"/>
      <w:numFmt w:val="bullet"/>
      <w:lvlText w:val="•"/>
      <w:lvlJc w:val="left"/>
      <w:pPr>
        <w:tabs>
          <w:tab w:val="num" w:pos="6480"/>
        </w:tabs>
        <w:ind w:left="6480" w:hanging="360"/>
      </w:pPr>
      <w:rPr>
        <w:rFonts w:ascii="Arial" w:hAnsi="Arial" w:hint="default"/>
      </w:rPr>
    </w:lvl>
  </w:abstractNum>
  <w:abstractNum w:abstractNumId="7">
    <w:nsid w:val="7C5E6F57"/>
    <w:multiLevelType w:val="hybridMultilevel"/>
    <w:tmpl w:val="E6223040"/>
    <w:lvl w:ilvl="0" w:tplc="7B54EC46">
      <w:start w:val="1"/>
      <w:numFmt w:val="decimal"/>
      <w:lvlText w:val="%1."/>
      <w:lvlJc w:val="left"/>
      <w:pPr>
        <w:ind w:left="1080" w:hanging="360"/>
      </w:pPr>
      <w:rPr>
        <w:rFonts w:ascii="Times New Roman" w:hAnsi="Times New Roman"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FA18A9"/>
    <w:multiLevelType w:val="hybridMultilevel"/>
    <w:tmpl w:val="41B049B4"/>
    <w:lvl w:ilvl="0" w:tplc="3FF4FABA">
      <w:start w:val="1"/>
      <w:numFmt w:val="decimal"/>
      <w:lvlText w:val="%1."/>
      <w:lvlJc w:val="left"/>
      <w:pPr>
        <w:ind w:left="1080" w:hanging="360"/>
      </w:pPr>
      <w:rPr>
        <w:rFonts w:asciiTheme="majorHAnsi" w:hAnsiTheme="majorHAnsi" w:cstheme="majorBidi" w:hint="default"/>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6"/>
  </w:num>
  <w:num w:numId="5">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docVars>
    <w:docVar w:name="EN.Layout" w:val="&lt;ENLayout&gt;&lt;Style&gt;Blo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wp5pf2dt5rqe0xfkvt5t2sx0ts95x5t5p&quot;&gt;ThalassemiaX3_09_2015&lt;record-ids&gt;&lt;item&gt;72&lt;/item&gt;&lt;item&gt;490&lt;/item&gt;&lt;item&gt;2739&lt;/item&gt;&lt;item&gt;2809&lt;/item&gt;&lt;item&gt;2853&lt;/item&gt;&lt;item&gt;3618&lt;/item&gt;&lt;item&gt;3619&lt;/item&gt;&lt;/record-ids&gt;&lt;/item&gt;&lt;/Libraries&gt;"/>
  </w:docVars>
  <w:rsids>
    <w:rsidRoot w:val="00E8785F"/>
    <w:rsid w:val="00020A6D"/>
    <w:rsid w:val="0015652A"/>
    <w:rsid w:val="00281F83"/>
    <w:rsid w:val="00340677"/>
    <w:rsid w:val="003426A5"/>
    <w:rsid w:val="00485537"/>
    <w:rsid w:val="004C2D3F"/>
    <w:rsid w:val="0055128D"/>
    <w:rsid w:val="00556332"/>
    <w:rsid w:val="00630057"/>
    <w:rsid w:val="00633AAA"/>
    <w:rsid w:val="00654468"/>
    <w:rsid w:val="00745337"/>
    <w:rsid w:val="0077187E"/>
    <w:rsid w:val="00A11069"/>
    <w:rsid w:val="00B03AF2"/>
    <w:rsid w:val="00B06C16"/>
    <w:rsid w:val="00B63BC2"/>
    <w:rsid w:val="00C40FEB"/>
    <w:rsid w:val="00DA5F6F"/>
    <w:rsid w:val="00E8785F"/>
    <w:rsid w:val="00ED032E"/>
    <w:rsid w:val="00F6140F"/>
    <w:rsid w:val="00F641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colormenu v:ext="edit" fillcolor="none" strokecolor="#36f"/>
    </o:shapedefaults>
    <o:shapelayout v:ext="edit">
      <o:idmap v:ext="edit" data="1"/>
    </o:shapelayout>
  </w:shapeDefaults>
  <w:decimalSymbol w:val="."/>
  <w:listSeparator w:val=","/>
  <w14:docId w14:val="7AEC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5F"/>
    <w:rPr>
      <w:rFonts w:ascii="Times New Roman" w:eastAsia="Times New Roman" w:hAnsi="Times New Roman" w:cs="Times New Roman"/>
    </w:rPr>
  </w:style>
  <w:style w:type="paragraph" w:styleId="Heading1">
    <w:name w:val="heading 1"/>
    <w:basedOn w:val="Normal"/>
    <w:next w:val="Normal"/>
    <w:link w:val="Heading1Char"/>
    <w:qFormat/>
    <w:rsid w:val="00E8785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85F"/>
    <w:rPr>
      <w:rFonts w:asciiTheme="majorHAnsi" w:eastAsiaTheme="majorEastAsia" w:hAnsiTheme="majorHAnsi" w:cstheme="majorBidi"/>
      <w:b/>
      <w:bCs/>
      <w:kern w:val="32"/>
      <w:sz w:val="32"/>
      <w:szCs w:val="32"/>
    </w:rPr>
  </w:style>
  <w:style w:type="table" w:styleId="TableGrid">
    <w:name w:val="Table Grid"/>
    <w:basedOn w:val="TableNormal"/>
    <w:rsid w:val="00E8785F"/>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8785F"/>
    <w:pPr>
      <w:tabs>
        <w:tab w:val="center" w:pos="4320"/>
        <w:tab w:val="right" w:pos="8640"/>
      </w:tabs>
    </w:pPr>
  </w:style>
  <w:style w:type="character" w:customStyle="1" w:styleId="HeaderChar">
    <w:name w:val="Header Char"/>
    <w:basedOn w:val="DefaultParagraphFont"/>
    <w:link w:val="Header"/>
    <w:rsid w:val="00E8785F"/>
    <w:rPr>
      <w:rFonts w:ascii="Times New Roman" w:eastAsia="Times New Roman" w:hAnsi="Times New Roman" w:cs="Times New Roman"/>
    </w:rPr>
  </w:style>
  <w:style w:type="paragraph" w:styleId="Footer">
    <w:name w:val="footer"/>
    <w:basedOn w:val="Normal"/>
    <w:link w:val="FooterChar"/>
    <w:uiPriority w:val="99"/>
    <w:rsid w:val="00E8785F"/>
    <w:pPr>
      <w:tabs>
        <w:tab w:val="center" w:pos="4320"/>
        <w:tab w:val="right" w:pos="8640"/>
      </w:tabs>
    </w:pPr>
  </w:style>
  <w:style w:type="character" w:customStyle="1" w:styleId="FooterChar">
    <w:name w:val="Footer Char"/>
    <w:basedOn w:val="DefaultParagraphFont"/>
    <w:link w:val="Footer"/>
    <w:uiPriority w:val="99"/>
    <w:rsid w:val="00E8785F"/>
    <w:rPr>
      <w:rFonts w:ascii="Times New Roman" w:eastAsia="Times New Roman" w:hAnsi="Times New Roman" w:cs="Times New Roman"/>
    </w:rPr>
  </w:style>
  <w:style w:type="character" w:styleId="CommentReference">
    <w:name w:val="annotation reference"/>
    <w:rsid w:val="00E8785F"/>
    <w:rPr>
      <w:sz w:val="16"/>
      <w:szCs w:val="16"/>
    </w:rPr>
  </w:style>
  <w:style w:type="paragraph" w:styleId="CommentText">
    <w:name w:val="annotation text"/>
    <w:basedOn w:val="Normal"/>
    <w:link w:val="CommentTextChar"/>
    <w:rsid w:val="00E8785F"/>
    <w:pPr>
      <w:spacing w:after="200" w:line="276" w:lineRule="auto"/>
    </w:pPr>
    <w:rPr>
      <w:rFonts w:ascii="Calibri" w:hAnsi="Calibri"/>
      <w:sz w:val="20"/>
      <w:szCs w:val="20"/>
      <w:lang w:bidi="en-US"/>
    </w:rPr>
  </w:style>
  <w:style w:type="character" w:customStyle="1" w:styleId="CommentTextChar">
    <w:name w:val="Comment Text Char"/>
    <w:basedOn w:val="DefaultParagraphFont"/>
    <w:link w:val="CommentText"/>
    <w:rsid w:val="00E8785F"/>
    <w:rPr>
      <w:rFonts w:ascii="Calibri" w:eastAsia="Times New Roman" w:hAnsi="Calibri" w:cs="Times New Roman"/>
      <w:sz w:val="20"/>
      <w:szCs w:val="20"/>
      <w:lang w:bidi="en-US"/>
    </w:rPr>
  </w:style>
  <w:style w:type="paragraph" w:styleId="BalloonText">
    <w:name w:val="Balloon Text"/>
    <w:basedOn w:val="Normal"/>
    <w:link w:val="BalloonTextChar"/>
    <w:rsid w:val="00E8785F"/>
    <w:rPr>
      <w:rFonts w:ascii="Lucida Grande" w:hAnsi="Lucida Grande"/>
      <w:sz w:val="18"/>
      <w:szCs w:val="18"/>
    </w:rPr>
  </w:style>
  <w:style w:type="character" w:customStyle="1" w:styleId="BalloonTextChar">
    <w:name w:val="Balloon Text Char"/>
    <w:basedOn w:val="DefaultParagraphFont"/>
    <w:link w:val="BalloonText"/>
    <w:rsid w:val="00E8785F"/>
    <w:rPr>
      <w:rFonts w:ascii="Lucida Grande" w:eastAsia="Times New Roman" w:hAnsi="Lucida Grande" w:cs="Times New Roman"/>
      <w:sz w:val="18"/>
      <w:szCs w:val="18"/>
    </w:rPr>
  </w:style>
  <w:style w:type="character" w:styleId="Hyperlink">
    <w:name w:val="Hyperlink"/>
    <w:basedOn w:val="DefaultParagraphFont"/>
    <w:uiPriority w:val="99"/>
    <w:rsid w:val="00E8785F"/>
    <w:rPr>
      <w:color w:val="0000FF"/>
      <w:u w:val="single"/>
    </w:rPr>
  </w:style>
  <w:style w:type="paragraph" w:styleId="DocumentMap">
    <w:name w:val="Document Map"/>
    <w:basedOn w:val="Normal"/>
    <w:link w:val="DocumentMapChar"/>
    <w:rsid w:val="00E8785F"/>
    <w:rPr>
      <w:rFonts w:ascii="Tahoma" w:hAnsi="Tahoma" w:cs="Tahoma"/>
      <w:sz w:val="16"/>
      <w:szCs w:val="16"/>
    </w:rPr>
  </w:style>
  <w:style w:type="character" w:customStyle="1" w:styleId="DocumentMapChar">
    <w:name w:val="Document Map Char"/>
    <w:basedOn w:val="DefaultParagraphFont"/>
    <w:link w:val="DocumentMap"/>
    <w:rsid w:val="00E8785F"/>
    <w:rPr>
      <w:rFonts w:ascii="Tahoma" w:eastAsia="Times New Roman" w:hAnsi="Tahoma" w:cs="Tahoma"/>
      <w:sz w:val="16"/>
      <w:szCs w:val="16"/>
    </w:rPr>
  </w:style>
  <w:style w:type="paragraph" w:styleId="ListParagraph">
    <w:name w:val="List Paragraph"/>
    <w:basedOn w:val="Normal"/>
    <w:uiPriority w:val="34"/>
    <w:qFormat/>
    <w:rsid w:val="00E8785F"/>
    <w:pPr>
      <w:ind w:left="720"/>
    </w:pPr>
    <w:rPr>
      <w:rFonts w:eastAsiaTheme="minorEastAsia"/>
      <w:lang w:eastAsia="ja-JP"/>
    </w:rPr>
  </w:style>
  <w:style w:type="paragraph" w:styleId="Title">
    <w:name w:val="Title"/>
    <w:basedOn w:val="Normal"/>
    <w:next w:val="Normal"/>
    <w:link w:val="TitleChar"/>
    <w:qFormat/>
    <w:rsid w:val="00E878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8785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8785F"/>
    <w:pPr>
      <w:keepLines/>
      <w:spacing w:before="480" w:after="0" w:line="276" w:lineRule="auto"/>
      <w:outlineLvl w:val="9"/>
    </w:pPr>
    <w:rPr>
      <w:color w:val="365F91" w:themeColor="accent1" w:themeShade="BF"/>
      <w:kern w:val="0"/>
      <w:sz w:val="28"/>
      <w:szCs w:val="28"/>
    </w:rPr>
  </w:style>
  <w:style w:type="paragraph" w:styleId="TOC1">
    <w:name w:val="toc 1"/>
    <w:basedOn w:val="Normal"/>
    <w:next w:val="Normal"/>
    <w:autoRedefine/>
    <w:uiPriority w:val="39"/>
    <w:rsid w:val="00E8785F"/>
    <w:pPr>
      <w:spacing w:after="100"/>
    </w:pPr>
  </w:style>
  <w:style w:type="character" w:styleId="FollowedHyperlink">
    <w:name w:val="FollowedHyperlink"/>
    <w:basedOn w:val="DefaultParagraphFont"/>
    <w:uiPriority w:val="99"/>
    <w:semiHidden/>
    <w:unhideWhenUsed/>
    <w:rsid w:val="003426A5"/>
    <w:rPr>
      <w:color w:val="800080" w:themeColor="followedHyperlink"/>
      <w:u w:val="single"/>
    </w:rPr>
  </w:style>
  <w:style w:type="paragraph" w:customStyle="1" w:styleId="EndNoteBibliographyTitle">
    <w:name w:val="EndNote Bibliography Title"/>
    <w:basedOn w:val="Normal"/>
    <w:rsid w:val="00B06C16"/>
    <w:pPr>
      <w:jc w:val="center"/>
    </w:pPr>
  </w:style>
  <w:style w:type="paragraph" w:customStyle="1" w:styleId="EndNoteBibliography">
    <w:name w:val="EndNote Bibliography"/>
    <w:basedOn w:val="Normal"/>
    <w:rsid w:val="00B06C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757</Words>
  <Characters>4317</Characters>
  <Application>Microsoft Macintosh Word</Application>
  <DocSecurity>0</DocSecurity>
  <Lines>35</Lines>
  <Paragraphs>10</Paragraphs>
  <ScaleCrop>false</ScaleCrop>
  <Company>USC</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wood</dc:creator>
  <cp:keywords/>
  <cp:lastModifiedBy>John Wood</cp:lastModifiedBy>
  <cp:revision>11</cp:revision>
  <dcterms:created xsi:type="dcterms:W3CDTF">2017-12-09T00:58:00Z</dcterms:created>
  <dcterms:modified xsi:type="dcterms:W3CDTF">2019-01-29T23:43:00Z</dcterms:modified>
</cp:coreProperties>
</file>