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36"/>
        </w:rPr>
        <w:t>HPRI Homeless Count Data Hub — MVP Background Notes</w:t>
      </w:r>
    </w:p>
    <w:p>
      <w:r>
        <w:rPr>
          <w:i/>
          <w:color w:val="666666"/>
          <w:sz w:val="20"/>
        </w:rPr>
        <w:t>Notes accompanying Amanda's email response — read at your leisure</w:t>
      </w:r>
    </w:p>
    <w:p/>
    <w:p>
      <w:pPr>
        <w:pStyle w:val="Heading1"/>
      </w:pPr>
      <w:r>
        <w:t>1. The Stewardship Opportunity</w:t>
      </w:r>
    </w:p>
    <w:p>
      <w:r>
        <w:rPr>
          <w:b w:val="0"/>
          <w:i w:val="0"/>
        </w:rPr>
        <w:t>Economic Roundtable has shut down its public data library for LA County Homeless Count data. With ERT exiting, HPRI is positioned to take over that role — and to do it substantially better. ERT republished the de-identified files LAHSA produces, but did not provide methodology documentation, did not surface confidence intervals or sampling-design considerations, and did not help researchers use the data correctly.</w:t>
      </w:r>
    </w:p>
    <w:p>
      <w:r>
        <w:rPr>
          <w:b w:val="0"/>
          <w:i w:val="0"/>
        </w:rPr>
        <w:t>The pitch for this MVP is therefore not "build something like ERT." It is: "HPRI takes over what ERT was doing, adds an interactive visualization layer on top of the same data, and writes the methodology and use documentation that ERT was never going to write."</w:t>
      </w:r>
    </w:p>
    <w:p>
      <w:pPr>
        <w:pStyle w:val="Heading1"/>
      </w:pPr>
      <w:r>
        <w:t>2. The Site Has Two Functions</w:t>
      </w:r>
    </w:p>
    <w:p>
      <w:r>
        <w:rPr>
          <w:b w:val="0"/>
          <w:i w:val="0"/>
        </w:rPr>
        <w:t>It's important that the team agree this is two distinct deliverables sharing a site, not one feature:</w:t>
      </w:r>
    </w:p>
    <w:p>
      <w:r>
        <w:rPr>
          <w:b/>
          <w:i w:val="0"/>
        </w:rPr>
        <w:t>Function 1 — Interactive visualization layer.</w:t>
      </w:r>
    </w:p>
    <w:p>
      <w:r>
        <w:rPr>
          <w:b w:val="0"/>
          <w:i w:val="0"/>
        </w:rPr>
        <w:t>Pre-tabulated estimates, standard errors, and confidence intervals surfaced through a query interface and chart UI. Users explore the data, browse trends, and pull defensible numbers for memos and presentations without downloading anything.</w:t>
      </w:r>
    </w:p>
    <w:p>
      <w:r>
        <w:rPr>
          <w:b/>
          <w:i w:val="0"/>
        </w:rPr>
        <w:t>Function 2 — Data library.</w:t>
      </w:r>
    </w:p>
    <w:p>
      <w:r>
        <w:rPr>
          <w:b w:val="0"/>
          <w:i w:val="0"/>
        </w:rPr>
        <w:t>De-identified microdata files plus comprehensive methodology and use documentation. Researchers and policymakers download the files, run their own analyses, and have the documentation they need to do so correctly. This is the function that directly replaces ERT, but with the documentation depth that ERT never provided.</w:t>
      </w:r>
    </w:p>
    <w:p>
      <w:r>
        <w:rPr>
          <w:b w:val="0"/>
          <w:i w:val="0"/>
        </w:rPr>
        <w:t>Both functions live on the same HPRI page but serve different audiences and have different engineering and writing surfaces. The visualization layer is mostly engineering work; the data library is mostly methodology-writing work with a thin engineering layer for downloads and a documentation site.</w:t>
      </w:r>
    </w:p>
    <w:p>
      <w:pPr>
        <w:pStyle w:val="Heading1"/>
      </w:pPr>
      <w:r>
        <w:t>3. Phase 1 Scope</w:t>
      </w:r>
    </w:p>
    <w:p>
      <w:pPr>
        <w:pStyle w:val="ListBullet"/>
      </w:pPr>
      <w:r>
        <w:t>Population: unsheltered adults only. Unsheltered youth, sheltered adults, and sheltered youth get added in subsequent phases.</w:t>
      </w:r>
    </w:p>
    <w:p>
      <w:pPr>
        <w:pStyle w:val="ListBullet"/>
      </w:pPr>
      <w:r>
        <w:t>Years: 2019–2025 (six years). 2018 and 2026 are both deferred to future iterations — see below for reasoning.</w:t>
      </w:r>
    </w:p>
    <w:p>
      <w:pPr>
        <w:pStyle w:val="ListBullet"/>
      </w:pPr>
      <w:r>
        <w:t>Geographies: CoC, SPA, City/County (LA City vs. Balance of County).</w:t>
      </w:r>
    </w:p>
    <w:p>
      <w:r>
        <w:rPr>
          <w:b/>
          <w:i w:val="0"/>
        </w:rPr>
        <w:t>Why these year bounds:</w:t>
      </w:r>
    </w:p>
    <w:p>
      <w:r>
        <w:rPr>
          <w:b w:val="0"/>
          <w:i w:val="0"/>
        </w:rPr>
        <w:t>2018 is excluded from the initial build because its microdata files were generated under a different variance-estimation methodology — Taylor linearization rather than jackknife replicate weights. 2019 was the first year to switch to jackknife, and every subsequent year (2019–2025) uses the current approach with consistent replicate-weight machinery. Including 2018 in the proof-of-concept would require either documenting two CI-computation paths in the user-facing documentation or re-running 2018 through the current post-stratification machinery. Both are doable but not appropriate for a POC build. 2018 can be added in a future iteration once we decide which approach to take.</w:t>
      </w:r>
    </w:p>
    <w:p>
      <w:r>
        <w:rPr>
          <w:b w:val="0"/>
          <w:i w:val="0"/>
        </w:rPr>
        <w:t>2026 is excluded from the initial build because the data is not yet finalized — LAHSA may issue corrections before public release, and HUD's HDX verification is not complete. We don't want to publish data that has to be corrected later. 2026 gets added once finalized.</w:t>
      </w:r>
    </w:p>
    <w:p>
      <w:r>
        <w:rPr>
          <w:b/>
          <w:i w:val="0"/>
        </w:rPr>
        <w:t>Why this scope:</w:t>
      </w:r>
    </w:p>
    <w:p>
      <w:pPr>
        <w:pStyle w:val="ListBullet"/>
      </w:pPr>
      <w:r>
        <w:t>Excluding HMIS sheltered data in Phase 1 avoids a different data-pipeline integration that would otherwise eat the timeline.</w:t>
      </w:r>
    </w:p>
    <w:p>
      <w:pPr>
        <w:pStyle w:val="ListBullet"/>
      </w:pPr>
      <w:r>
        <w:t>A focused MVP that works really well for one population and a clean time window is a much stronger internal pitch than a broader MVP that half-works for everything. Adding 2018, 2026, youth + sheltered later becomes incremental work on a proven architecture, not a parallel build.</w:t>
      </w:r>
    </w:p>
    <w:p>
      <w:pPr>
        <w:pStyle w:val="Heading1"/>
      </w:pPr>
      <w:r>
        <w:t>4. Function 1: The Visualization Layer</w:t>
      </w:r>
    </w:p>
    <w:p>
      <w:pPr>
        <w:pStyle w:val="Heading2"/>
      </w:pPr>
      <w:r>
        <w:t>Data source</w:t>
      </w:r>
    </w:p>
    <w:p>
      <w:r>
        <w:rPr>
          <w:b w:val="0"/>
          <w:i w:val="0"/>
        </w:rPr>
        <w:t>The production SAS pipeline already outputs Excel tables with estimates, standard errors, and 95% CIs for every demographic × geography × population combination, via jackknife replicate weights generated in demo_adult_nonrespjk.sas. Mark consumes those output tables directly — he does not need to reimplement weighting, non-response adjustment, or post-stratification.</w:t>
      </w:r>
    </w:p>
    <w:p>
      <w:r>
        <w:rPr>
          <w:b/>
          <w:i w:val="0"/>
        </w:rPr>
        <w:t>File inventory for the MVP (2019–2025, unsheltered adults, three geographies):</w:t>
      </w:r>
    </w:p>
    <w:p>
      <w:pPr>
        <w:pStyle w:val="ListBullet"/>
      </w:pPr>
      <w:r>
        <w:t>street_estimates_all_CoC_YYYY (one per year)</w:t>
      </w:r>
    </w:p>
    <w:p>
      <w:pPr>
        <w:pStyle w:val="ListBullet"/>
      </w:pPr>
      <w:r>
        <w:t>street_estimates_all_spa_YYYY</w:t>
      </w:r>
    </w:p>
    <w:p>
      <w:pPr>
        <w:pStyle w:val="ListBullet"/>
      </w:pPr>
      <w:r>
        <w:t>street_estimates_all_city_YYYY</w:t>
      </w:r>
    </w:p>
    <w:p>
      <w:pPr>
        <w:pStyle w:val="ListBullet"/>
      </w:pPr>
      <w:r>
        <w:t>street_estimates_vet_CoC_YYYY</w:t>
      </w:r>
    </w:p>
    <w:p>
      <w:pPr>
        <w:pStyle w:val="ListBullet"/>
      </w:pPr>
      <w:r>
        <w:t>street_estimates_vet_spa_YYYY</w:t>
      </w:r>
    </w:p>
    <w:p>
      <w:pPr>
        <w:pStyle w:val="ListBullet"/>
      </w:pPr>
      <w:r>
        <w:t>street_estimates_vet_city_YYYY</w:t>
      </w:r>
    </w:p>
    <w:p>
      <w:r>
        <w:rPr>
          <w:b w:val="0"/>
          <w:i w:val="0"/>
        </w:rPr>
        <w:t>Six files per year, six years (2019–2025, excluding 2021 which was cancelled due to COVID-19) = 36 files. All are on the Schaeffer server in Excel format.</w:t>
      </w:r>
    </w:p>
    <w:p>
      <w:r>
        <w:rPr>
          <w:b w:val="0"/>
          <w:i w:val="0"/>
        </w:rPr>
        <w:t>Each file is wide format. The ingestion pipeline's first job is to reshape these into a single tidy long-format table: year, geography_type, geography_value, hhold_type, count_var, demographic, estimate, SE, lower_CI, upper_CI. That long-format table is the substrate for the query interface and the chart UI.</w:t>
      </w:r>
    </w:p>
    <w:p>
      <w:pPr>
        <w:pStyle w:val="Heading2"/>
      </w:pPr>
      <w:r>
        <w:t>Cross-year variable comparability — the honest picture</w:t>
      </w:r>
    </w:p>
    <w:p>
      <w:r>
        <w:rPr>
          <w:b w:val="0"/>
          <w:i w:val="0"/>
        </w:rPr>
        <w:t>Many variables/constructs are comparable across years with caveats; a few are not. A full year-by-year variable comparison (379 lines with code citations and survey question wording) is in a separate document (saved on my OneDrive that I can provide to you/Mark). The short version, for the 2019–2025 window:</w:t>
      </w:r>
    </w:p>
    <w:p>
      <w:r>
        <w:rPr>
          <w:b/>
          <w:i w:val="0"/>
        </w:rPr>
        <w:t>Stable across all years 2019–2025 — clean trend lines:</w:t>
      </w:r>
    </w:p>
    <w:p>
      <w:pPr>
        <w:pStyle w:val="ListBullet"/>
      </w:pPr>
      <w:r>
        <w:t>Total counts (TotHH, TotMem, MemU18, Mem1824, Mem25P)</w:t>
      </w:r>
    </w:p>
    <w:p>
      <w:pPr>
        <w:pStyle w:val="ListBullet"/>
      </w:pPr>
      <w:r>
        <w:t>Coarse age bands (under-18, 18-24, 25-54, 55-61, 62+)</w:t>
      </w:r>
    </w:p>
    <w:p>
      <w:pPr>
        <w:pStyle w:val="ListBullet"/>
      </w:pPr>
      <w:r>
        <w:t>HIV, fleeing-DV-into-homelessness, veteran status, household-with-children flag</w:t>
      </w:r>
    </w:p>
    <w:p>
      <w:pPr>
        <w:pStyle w:val="ListBullet"/>
      </w:pPr>
      <w:r>
        <w:t>LGB share (sexual orientation is asked consistently from 2019 onward)</w:t>
      </w:r>
    </w:p>
    <w:p>
      <w:r>
        <w:rPr>
          <w:b/>
          <w:i w:val="0"/>
        </w:rPr>
        <w:t>Stable with a documented harmonization annotation:</w:t>
      </w:r>
    </w:p>
    <w:p>
      <w:pPr>
        <w:pStyle w:val="ListBullet"/>
      </w:pPr>
      <w:r>
        <w:t>Race totals — comparable using a documented mapping between legacy single-race totals (2019–2023) and the 2024+ HUD-aligned variables. Pre-2024 series understates Black/AI-AN/etc. presence because multiracial respondents were folded into 'multirace' before 2024; the harmonization rule notes this.</w:t>
      </w:r>
    </w:p>
    <w:p>
      <w:pPr>
        <w:pStyle w:val="ListBullet"/>
      </w:pPr>
      <w:r>
        <w:t>Binary male / female / transgender — variable names are produced every year, but the underlying survey question changed in two places (see notes below): (a) a 2022 shift from single-select to multi-select, and (b) a 2024 redesign where transgender stopped being a separate Y/N question and became a checkbox option in the gender question itself. Trend lines are interpretable across the whole window but should carry methodology markers at both 2022 and 2024.</w:t>
      </w:r>
    </w:p>
    <w:p>
      <w:pPr>
        <w:pStyle w:val="ListBullet"/>
      </w:pPr>
      <w:r>
        <w:t>Hispanic/Latine indicator</w:t>
      </w:r>
    </w:p>
    <w:p>
      <w:pPr>
        <w:pStyle w:val="ListBullet"/>
      </w:pPr>
      <w:r>
        <w:t>Developmental disability (small wording change but construct comparable)</w:t>
      </w:r>
    </w:p>
    <w:p>
      <w:pPr>
        <w:pStyle w:val="ListBullet"/>
      </w:pPr>
      <w:r>
        <w:t>Chronic homelessness — HUD's rule itself is stable, and chronicP_D's SAS implementation is stable, but with a subtle caveat: chronic requires a qualifying disabling condition, and the disabling-condition input depends on flags that changed in 2022 (see below). Bleed-through is probably small but should be characterized before publishing as a trend.</w:t>
      </w:r>
    </w:p>
    <w:p>
      <w:r>
        <w:rPr>
          <w:b/>
          <w:i w:val="0"/>
        </w:rPr>
        <w:t>Genuine break in 2022 — two-segment treatment:</w:t>
      </w:r>
    </w:p>
    <w:p>
      <w:pPr>
        <w:pStyle w:val="ListBullet"/>
      </w:pPr>
      <w:r>
        <w:t>Disability flags (mental → mental_LD): the survey moved from one overall long-duration question to a per-condition LD follow-up in 2022, AND folded depression/PTSD/serious mental illness into a single "Serious Mental Illness" item. mental_LD (2022+) is strictly narrower than mental (2019–2020). This is the most consequential finding from the variable review. Substance use, physical disability, brain injury, and other chronic health flags break for the same reasons.</w:t>
      </w:r>
    </w:p>
    <w:p>
      <w:pPr>
        <w:pStyle w:val="ListBullet"/>
      </w:pPr>
      <w:r>
        <w:t>Gender question structure (single-select → multi-select): through 2020, gender was a single-answer question. In 2022 it became "select all that apply." Binary male / female / transgender continue to be produced and are interpretable, but the underlying mechanic shifted (a respondent picking both Male and Female in 2022 is coded as "non-singular," not as male or female). The donotID_MFTG variable retired and was replaced by non_singular + questioning in 2022. This affects the "non-binary / non-conforming" construct more than the binary categories — see the BREAK section below.</w:t>
      </w:r>
    </w:p>
    <w:p>
      <w:r>
        <w:rPr>
          <w:b/>
          <w:i w:val="0"/>
        </w:rPr>
        <w:t>Genuine break in 2024 — HUD HDX 2.0 redesigns (race and gender):</w:t>
      </w:r>
    </w:p>
    <w:p>
      <w:r>
        <w:rPr>
          <w:b w:val="0"/>
          <w:i w:val="0"/>
        </w:rPr>
        <w:t>HUD's HDX 2.0 reporting standards introduced material changes to both race/ethnicity and gender categorization that the LA Homeless Count adopted in 2024.</w:t>
      </w:r>
    </w:p>
    <w:p>
      <w:pPr>
        <w:pStyle w:val="ListBullet"/>
      </w:pPr>
      <w:r>
        <w:t>Race: Hispanic/Latine moved from a separate question into the combined "races AND/OR ethnicities" item. MENA was added. The HUD-aligned hd_* variables and the multiracial-component *_mult variables were introduced. Race × non-Hispanic combinations comparing 2019–2023 vs. 2024+ require explicit harmonization rules.</w:t>
      </w:r>
    </w:p>
    <w:p>
      <w:pPr>
        <w:pStyle w:val="ListBullet"/>
      </w:pPr>
      <w:r>
        <w:t>Gender: transgender stopped being a separate Y/N question and became a checkbox option in the gender question itself. "Gender Nonconforming" and "Not Singularly Male or Female" were removed. New options added: Non-Binary, Culturally Specific Identity (e.g., Two-Spirit), Different Identity, Questioning. The HUD-aligned hd_* gender family was introduced (hd_woman, hd_man, hd_trans, hd_non_bin, hd_cs_iden, hd_diff_iden, hd_question, hd_multi_gen, plus the *_mult component variables and the hd_mg_* multi-gender breakdowns). The binary male / female / transgender variables continue to be produced but the underlying coding logic shifted; for the most defensible cross-year woman/man trend, the harmonization rule is to use female=1 / male=1 for 2019–2023 and woman_mult=1 / man_mult=1 for 2024–2025 (the *_mult variables capture anyone selecting that identity in any combination).</w:t>
      </w:r>
    </w:p>
    <w:p>
      <w:r>
        <w:rPr>
          <w:b/>
          <w:i w:val="0"/>
        </w:rPr>
        <w:t>Genuine break across multiple transitions — non-binary / non-conforming / questioning construct:</w:t>
      </w:r>
    </w:p>
    <w:p>
      <w:r>
        <w:rPr>
          <w:b w:val="0"/>
          <w:i w:val="0"/>
        </w:rPr>
        <w:t>This construct does not form a single continuous trend line because the underlying response option set changed three times across the 2019–2025 window: donotID_MFTG (2019–2020) → non_singular + questioning (2022–2023) → hd_non_bin + hd_cs_iden + hd_diff_iden (2024+). These are three different constructs measuring overlapping but distinct things. The visualization should display this as three separate segments, not a connecting line.</w:t>
      </w:r>
    </w:p>
    <w:p>
      <w:r>
        <w:rPr>
          <w:b/>
          <w:i w:val="0"/>
        </w:rPr>
        <w:t>New variables introduced mid-window:</w:t>
      </w:r>
    </w:p>
    <w:p>
      <w:pPr>
        <w:pStyle w:val="ListBullet"/>
      </w:pPr>
      <w:r>
        <w:t>MENA: introduced 2024 (HUD HDX 2.0).</w:t>
      </w:r>
    </w:p>
    <w:p>
      <w:pPr>
        <w:pStyle w:val="ListBullet"/>
      </w:pPr>
      <w:r>
        <w:t>Non-Binary, Culturally Specific Identity, Different Identity, Questioning as explicit gender options: introduced 2024 (HUD HDX 2.0). Replaced "Gender Nonconforming" / "Not Singularly Male or Female" which were retired in 2024.</w:t>
      </w:r>
    </w:p>
    <w:p>
      <w:pPr>
        <w:pStyle w:val="ListBullet"/>
      </w:pPr>
      <w:r>
        <w:t>Co-occurring disorder (codisorder_ld): introduced 2023.</w:t>
      </w:r>
    </w:p>
    <w:p>
      <w:r>
        <w:rPr>
          <w:b/>
          <w:i w:val="0"/>
        </w:rPr>
        <w:t>Procedural gotcha worth flagging to Mark:</w:t>
      </w:r>
    </w:p>
    <w:p>
      <w:pPr>
        <w:pStyle w:val="ListBullet"/>
      </w:pPr>
      <w:r>
        <w:t>hhold_type expanded in 2022 — new types added, and pre-2022 hhold_type=2 is broader than 2022+ hhold_type=2. By-hhold-type trends need a pre-/post-2022 harmonization rule.</w:t>
      </w:r>
    </w:p>
    <w:p>
      <w:pPr>
        <w:pStyle w:val="ListBullet"/>
      </w:pPr>
      <w:r>
        <w:t>2021 should be explicitly labeled as a cancellation (COVID-19), not just left as a missing point.</w:t>
      </w:r>
    </w:p>
    <w:p>
      <w:pPr>
        <w:pStyle w:val="Heading2"/>
      </w:pPr>
      <w:r>
        <w:t>Proposed visualization design pattern</w:t>
      </w:r>
    </w:p>
    <w:p>
      <w:r>
        <w:rPr>
          <w:b w:val="0"/>
          <w:i w:val="0"/>
        </w:rPr>
        <w:t>The variable-comparability picture is real but doesn't kill the cross-year story. The interface needs visual grammar that maps to construct stability.</w:t>
      </w:r>
    </w:p>
    <w:p>
      <w:r>
        <w:rPr>
          <w:b w:val="0"/>
          <w:i w:val="0"/>
        </w:rPr>
        <w:t>For STABLE variables: continuous solid line across all years. Simple methodology footnote describing the construct.</w:t>
      </w:r>
    </w:p>
    <w:p>
      <w:r>
        <w:rPr>
          <w:b w:val="0"/>
          <w:i w:val="0"/>
        </w:rPr>
        <w:t>For STABLE-WITH-HARMONIZATION variables (race totals, binary gender, chronic homelessness): continuous line, but with visible methodology markers at the relevant change-years (e.g., 2022 and 2024 for gender; 2024 for race; 2022 for chronic). Hovering or clicking surfaces the harmonization rule that was applied and links to the relevant survey-question change.</w:t>
      </w:r>
    </w:p>
    <w:p>
      <w:r>
        <w:rPr>
          <w:b w:val="0"/>
          <w:i w:val="0"/>
        </w:rPr>
        <w:t>For BREAK variables (mental illness, substance use, other disability flags; non-binary / non-conforming construct): distinct line segments on the same chart axes, with visible gaps between them — NOT connecting lines. Each segment is labeled with its construct (e.g., "Mental illness, 2019–2020 definition" / "Serious mental illness, long-duration confirmed, 2022+ definition"; or for non-binary: "Don't identify as M/F/T/G, 2019–2020" / "Non-singular or questioning, 2022–2023" / "Non-binary or culturally specific or different identity, 2024+"). Hovering each segment surfaces the question wording. Users see all eras of data on one chart, can visually compare prevalence levels, but the absence of connecting lines is the signal that this isn't a continuous trend.</w:t>
      </w:r>
    </w:p>
    <w:p>
      <w:r>
        <w:rPr>
          <w:b w:val="0"/>
          <w:i w:val="0"/>
        </w:rPr>
        <w:t>For NEW or RETIRED variables: line exists only for the years the variable exists, with a "first asked in YYYY" annotation at the relevant endpoint.</w:t>
      </w:r>
    </w:p>
    <w:p>
      <w:r>
        <w:rPr>
          <w:b w:val="0"/>
          <w:i w:val="0"/>
        </w:rPr>
        <w:t>Strategic note: ERT published year-over-year numbers with zero methodological annotation. A continuous line with just a footnote risks reading the same way — most users don't read footnotes. The segmented treatment for genuine breaks is the visual grammar that actually distinguishes us as a methodologically rigorous resource, and is the strongest talking point for the "transparency" framing.</w:t>
      </w:r>
    </w:p>
    <w:p>
      <w:pPr>
        <w:pStyle w:val="Heading1"/>
      </w:pPr>
      <w:r>
        <w:t>5. Function 2: The Data Library</w:t>
      </w:r>
    </w:p>
    <w:p>
      <w:r>
        <w:rPr>
          <w:b w:val="0"/>
          <w:i w:val="0"/>
        </w:rPr>
        <w:t>This is the function that directly replaces ERT. The substance is straightforward; the value-add is the documentation.</w:t>
      </w:r>
    </w:p>
    <w:p>
      <w:pPr>
        <w:pStyle w:val="Heading2"/>
      </w:pPr>
      <w:r>
        <w:t>What we publish</w:t>
      </w:r>
    </w:p>
    <w:p>
      <w:r>
        <w:rPr>
          <w:b w:val="0"/>
          <w:i w:val="0"/>
        </w:rPr>
        <w:t>De-identified individual-level and household-level analytic files — the same files LAHSA already receives annually from the HC data team and that ERT had been republishing. For unsheltered adults, 2019–2025. Two files per year (indiv and hhold), six years = 12 microdata files.</w:t>
      </w:r>
    </w:p>
    <w:p>
      <w:r>
        <w:rPr>
          <w:b/>
          <w:i w:val="0"/>
        </w:rPr>
        <w:t>Each annual file includes:</w:t>
      </w:r>
    </w:p>
    <w:p>
      <w:pPr>
        <w:pStyle w:val="ListBullet"/>
      </w:pPr>
      <w:r>
        <w:t>Analytic variables (the recoded HUD-aligned demographic, health, chronicity, veteran, geography variables)</w:t>
      </w:r>
    </w:p>
    <w:p>
      <w:pPr>
        <w:pStyle w:val="ListBullet"/>
      </w:pPr>
      <w:r>
        <w:t>Sampling weights</w:t>
      </w:r>
    </w:p>
    <w:p>
      <w:pPr>
        <w:pStyle w:val="ListBullet"/>
      </w:pPr>
      <w:r>
        <w:t>Non-response-adjusted weights</w:t>
      </w:r>
    </w:p>
    <w:p>
      <w:pPr>
        <w:pStyle w:val="ListBullet"/>
      </w:pPr>
      <w:r>
        <w:t>Final post-stratified weight (currently ps_weight_adult; 2019 uses ps_weightC — small naming wrinkle to document)</w:t>
      </w:r>
    </w:p>
    <w:p>
      <w:pPr>
        <w:pStyle w:val="ListBullet"/>
      </w:pPr>
      <w:r>
        <w:t>Jackknife replicate weights (RepWt_1 through RepWt_N — N varies by year from ~320 to ~430)</w:t>
      </w:r>
    </w:p>
    <w:p>
      <w:r>
        <w:rPr>
          <w:b w:val="0"/>
          <w:i w:val="0"/>
        </w:rPr>
        <w:t>Because the de-identification is already done annually and these files were already public via ERT, there is no new disclosure-risk work and no new governance review to clear. We are moving the publication venue, not making fundamentally new data public.</w:t>
      </w:r>
    </w:p>
    <w:p>
      <w:pPr>
        <w:pStyle w:val="Heading2"/>
      </w:pPr>
      <w:r>
        <w:t>Documentation — "How to use this data correctly"</w:t>
      </w:r>
    </w:p>
    <w:p>
      <w:r>
        <w:rPr>
          <w:b w:val="0"/>
          <w:i w:val="0"/>
        </w:rPr>
        <w:t>This is where most of the substantive writing work sits. Audience is policy researchers, not survey statisticians — but the content has to include all the important methodology components and assumptions/caveats. Style is accessible but rigorous, not dumbed-down.</w:t>
      </w:r>
    </w:p>
    <w:p>
      <w:r>
        <w:rPr>
          <w:b/>
          <w:i w:val="0"/>
        </w:rPr>
        <w:t>Proposed documentation structure:</w:t>
      </w:r>
    </w:p>
    <w:p>
      <w:pPr>
        <w:pStyle w:val="ListBullet"/>
      </w:pPr>
      <w:r>
        <w:t>Orientation. What the data is, who it represents (which population, which years, which geography). What it does NOT represent (sheltered population is separate, youth is separate, 2018/2021/2026 are not in this release). What the file structure looks like.</w:t>
      </w:r>
    </w:p>
    <w:p>
      <w:pPr>
        <w:pStyle w:val="ListBullet"/>
      </w:pPr>
      <w:r>
        <w:t>Methodology in plain language. Sampling design (stratified probability sample of census tracts); what each weight variable is and why we have so many; how to use replicate weights to compute CIs; why post-stratification to PIT counts matters; what the CVRTM multipliers do; how non-response is handled. Formulas where helpful, plain language explanations alongside.</w:t>
      </w:r>
    </w:p>
    <w:p>
      <w:pPr>
        <w:pStyle w:val="ListBullet"/>
      </w:pPr>
      <w:r>
        <w:t>Variable codebook. Every analytic variable: definition, response options, year availability, known caveats. The 2022 disability question-structure change, the 2022 gender single→multi-select change, the 2024 HUD HDX 2.0 race and gender redesigns, the hhold_type 2022 expansion all live here.</w:t>
      </w:r>
    </w:p>
    <w:p>
      <w:pPr>
        <w:pStyle w:val="ListBullet"/>
      </w:pPr>
      <w:r>
        <w:t>"How to use this correctly" with annotated example analyses. R (survey package), Stata (svyset), SAS (PROC SURVEYMEANS), and Python (statsmodels). Each example: read the file in, declare the survey design, compute a basic estimate with CI, compute a derived proportion with proper CI propagation, produce a domain-level estimate. Plus a "common pitfalls" subsection — unweighted analyses, ignoring replicate weights, summing estimates that aren't additive, etc.</w:t>
      </w:r>
    </w:p>
    <w:p>
      <w:pPr>
        <w:pStyle w:val="ListBullet"/>
      </w:pPr>
      <w:r>
        <w:t>Assumptions and caveats appendix. The 2021 COVID gap, the variable changes year over year, what we suppress and why, CVRTM occupancy is estimated not observed, the spreading conventions for sub-CoC counts.</w:t>
      </w:r>
    </w:p>
    <w:p>
      <w:pPr>
        <w:pStyle w:val="Heading1"/>
      </w:pPr>
      <w:r>
        <w:t>6. Storage and Tooling</w:t>
      </w:r>
    </w:p>
    <w:p>
      <w:r>
        <w:rPr>
          <w:b w:val="0"/>
          <w:i w:val="0"/>
        </w:rPr>
        <w:t>Box for data and methodology documentation. That's where our other HPRI data lives and it handles attachments well. For the application code itself, a private GitHub repository (USC-affiliated if available). Box doesn't handle version control, diffs, branches, or code review the way GitHub does, and Mark will want that infrastructure. Recommendation: Box for data + docs, GitHub for code.</w:t>
      </w:r>
    </w:p>
    <w:p>
      <w:pPr>
        <w:pStyle w:val="Heading1"/>
      </w:pPr>
      <w:r>
        <w:t>7. One Methodology Question</w:t>
      </w:r>
    </w:p>
    <w:p>
      <w:r>
        <w:rPr>
          <w:b w:val="0"/>
          <w:i w:val="0"/>
        </w:rPr>
        <w:t>Before we publish chronic homelessness (chronicP_D) as a cross-year trend variable in the visualization layer, we should have the data team characterize the magnitude of the 2022 disability-question-structure change on the chronic flag. The HUD rule is stable; the disabling-condition input depends on flags that changed in 2022.</w:t>
      </w:r>
    </w:p>
    <w:p>
      <w:r>
        <w:rPr>
          <w:b w:val="0"/>
          <w:i w:val="0"/>
        </w:rPr>
        <w:t>Specifically: what would chronicP_D prevalence have been in 2020 if computed under the 2022+ disabling-condition definition? If the gap is under ~2 percentage points, we publish chronic as a stable cross-year trend with a methodology note. If the gap is larger, we use the two-segment display treatment.</w:t>
      </w:r>
    </w:p>
    <w:p>
      <w:r>
        <w:rPr>
          <w:b w:val="0"/>
          <w:i w:val="0"/>
        </w:rPr>
        <w:t>This isn't a blocker. The engineering work can proceed without it. We just need the answer before launch.</w:t>
      </w:r>
    </w:p>
    <w:p>
      <w:pPr>
        <w:pStyle w:val="Heading1"/>
      </w:pPr>
      <w:r>
        <w:t>8. Open Items to Confirm</w:t>
      </w:r>
    </w:p>
    <w:p>
      <w:pPr>
        <w:pStyle w:val="ListBullet"/>
      </w:pPr>
      <w:r>
        <w:t>The chronic homelessness variable check noted above.</w:t>
      </w:r>
    </w:p>
    <w:p>
      <w:pPr>
        <w:pStyle w:val="ListBullet"/>
      </w:pPr>
      <w:r>
        <w:t>Governance / IRB confirmation that publishing the de-identified microdata via HPRI is treated the same as publishing via ERT under our LAHSA contract. Almost certainly already covered, but worth closing the loop.</w:t>
      </w:r>
    </w:p>
    <w:p>
      <w:pPr>
        <w:pStyle w:val="Heading1"/>
      </w:pPr>
      <w:r>
        <w:t>9. Timeline</w:t>
      </w:r>
    </w:p>
    <w:p>
      <w:r>
        <w:rPr>
          <w:b w:val="0"/>
          <w:i w:val="0"/>
        </w:rPr>
        <w:t>Six to eight weeks is achievable for a proof-of-concept that demonstrates both functions, provided we're explicit about what arrives in the initial drop versus what gets polished after.</w:t>
      </w:r>
    </w:p>
    <w:p>
      <w:r>
        <w:rPr>
          <w:b/>
          <w:i w:val="0"/>
        </w:rPr>
        <w:t>Rough sprint sketch:</w:t>
      </w:r>
    </w:p>
    <w:p>
      <w:pPr>
        <w:pStyle w:val="ListBullet"/>
      </w:pPr>
      <w:r>
        <w:t>Weeks 1–2: data inventory (export the 36 production output files for 2019–2025 from Schaeffer, pull the 12 de-identified microdata files from Box and confirm replicate weights are present, all confirmed), build the harmonized long-format dataset for the visualization layer, build the variable-availability metadata.</w:t>
      </w:r>
    </w:p>
    <w:p>
      <w:pPr>
        <w:pStyle w:val="ListBullet"/>
      </w:pPr>
      <w:r>
        <w:t>Weeks 3–4: visualization layer build — query template catalog, AI natural-language → template parameter mapping, backend API.</w:t>
      </w:r>
    </w:p>
    <w:p>
      <w:pPr>
        <w:pStyle w:val="ListBullet"/>
      </w:pPr>
      <w:r>
        <w:t>Weeks 5–6: frontend with the trend-visualization design pattern, methodology-disclosure UI, file download infrastructure for the data library.</w:t>
      </w:r>
    </w:p>
    <w:p>
      <w:pPr>
        <w:pStyle w:val="ListBullet"/>
      </w:pPr>
      <w:r>
        <w:t>Weeks 7–8: documentation site published with a v1 documentation set (orientation + methodology in plain language + codebook + one worked example per stat package); internal user testing with 3–5 HPRI researchers; polish; demo prep.</w:t>
      </w:r>
    </w:p>
    <w:p>
      <w:r>
        <w:rPr>
          <w:b/>
          <w:i w:val="0"/>
        </w:rPr>
        <w:t>Phase 1.5 polish (2–4 weeks after demo):</w:t>
      </w:r>
    </w:p>
    <w:p>
      <w:r>
        <w:rPr>
          <w:b w:val="0"/>
          <w:i w:val="0"/>
        </w:rPr>
        <w:t>Full "how to use this correctly" documentation with multiple worked examples per stat package; fuller assumptions/caveats appendix; expanded methodology section. Consider whether and how to add 2018 and 2026 to the data library at this point.</w:t>
      </w:r>
    </w:p>
    <w:p>
      <w:r>
        <w:rPr>
          <w:b w:val="0"/>
          <w:i w:val="0"/>
        </w:rPr>
        <w:t>The week to protect is Week 1. If we start building the UI without the variable-availability metadata locked down, we'll rebuild things in Week 5. And if we start writing the documentation without aligning on the audience and structure, we'll rewrite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