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A0E" w:rsidRPr="00303531" w:rsidRDefault="00635EF9" w:rsidP="00635EF9">
      <w:pPr>
        <w:jc w:val="center"/>
        <w:rPr>
          <w:b/>
          <w:sz w:val="24"/>
        </w:rPr>
      </w:pPr>
      <w:r w:rsidRPr="00303531">
        <w:rPr>
          <w:b/>
          <w:sz w:val="24"/>
        </w:rPr>
        <w:t>CBL calibration exploration</w:t>
      </w:r>
    </w:p>
    <w:p w:rsidR="00CD20C6" w:rsidRDefault="00CD20C6" w:rsidP="00CD20C6">
      <w:pPr>
        <w:jc w:val="center"/>
      </w:pPr>
      <w:r>
        <w:t>Zhan Li, 20140918</w:t>
      </w:r>
      <w:bookmarkStart w:id="0" w:name="_GoBack"/>
      <w:bookmarkEnd w:id="0"/>
    </w:p>
    <w:p w:rsidR="00635EF9" w:rsidRDefault="00635EF9">
      <w:r>
        <w:t xml:space="preserve">Data source: Brisbane corridor scans of calibration panels made by John. Data points (DN, reflectance, range) are compiled by Ian. Note here that the ranges in the data points are all nominal ranges of panel locations, not actual ranges from CBL scanning data. </w:t>
      </w:r>
    </w:p>
    <w:p w:rsidR="00635EF9" w:rsidRDefault="00635EF9">
      <w:r>
        <w:t>Lidar equation:</w:t>
      </w:r>
    </w:p>
    <w:p w:rsidR="00635EF9" w:rsidRPr="00635EF9" w:rsidRDefault="00635EF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⋅ρ⋅</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K</m:t>
          </m:r>
          <m:d>
            <m:dPr>
              <m:ctrlPr>
                <w:rPr>
                  <w:rFonts w:ascii="Cambria Math" w:hAnsi="Cambria Math"/>
                  <w:i/>
                </w:rPr>
              </m:ctrlPr>
            </m:dPr>
            <m:e>
              <m:r>
                <w:rPr>
                  <w:rFonts w:ascii="Cambria Math" w:hAnsi="Cambria Math"/>
                </w:rPr>
                <m:t>r</m:t>
              </m:r>
            </m:e>
          </m:d>
        </m:oMath>
      </m:oMathPara>
    </w:p>
    <w:p w:rsidR="00635EF9" w:rsidRDefault="00635EF9">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w:r>
        <w:rPr>
          <w:rFonts w:eastAsiaTheme="minorEastAsia"/>
        </w:rPr>
        <w:t xml:space="preserve"> is </w:t>
      </w:r>
      <w:r w:rsidR="00E6289C">
        <w:rPr>
          <w:rFonts w:eastAsiaTheme="minorEastAsia"/>
        </w:rPr>
        <w:t xml:space="preserve">calibration constant related to </w:t>
      </w:r>
      <w:r w:rsidR="00E6289C" w:rsidRPr="00343271">
        <w:rPr>
          <w:rFonts w:eastAsiaTheme="minorEastAsia"/>
          <w:i/>
        </w:rPr>
        <w:t>outgoing power</w:t>
      </w:r>
      <w:r w:rsidR="00E6289C">
        <w:rPr>
          <w:rFonts w:eastAsiaTheme="minorEastAsia"/>
        </w:rPr>
        <w:t xml:space="preserve"> and </w:t>
      </w:r>
      <w:r w:rsidR="00E6289C" w:rsidRPr="00343271">
        <w:rPr>
          <w:rFonts w:eastAsiaTheme="minorEastAsia"/>
          <w:i/>
        </w:rPr>
        <w:t>detector gain</w:t>
      </w:r>
      <w:r w:rsidR="00E6289C">
        <w:rPr>
          <w:rFonts w:eastAsiaTheme="minorEastAsia"/>
        </w:rPr>
        <w:t xml:space="preserve">, </w:t>
      </w:r>
      <m:oMath>
        <m:r>
          <w:rPr>
            <w:rFonts w:ascii="Cambria Math" w:eastAsiaTheme="minorEastAsia" w:hAnsi="Cambria Math"/>
          </w:rPr>
          <m:t>r</m:t>
        </m:r>
      </m:oMath>
      <w:r w:rsidR="00E6289C">
        <w:rPr>
          <w:rFonts w:eastAsiaTheme="minorEastAsia"/>
        </w:rPr>
        <w:t xml:space="preserve"> is range, </w:t>
      </w:r>
      <m:oMath>
        <m:r>
          <w:rPr>
            <w:rFonts w:ascii="Cambria Math" w:eastAsiaTheme="minorEastAsia" w:hAnsi="Cambria Math"/>
          </w:rPr>
          <m:t>ρ</m:t>
        </m:r>
      </m:oMath>
      <w:r w:rsidR="00E6289C">
        <w:rPr>
          <w:rFonts w:eastAsiaTheme="minorEastAsia"/>
        </w:rPr>
        <w:t xml:space="preserve"> is reflectance, and </w:t>
      </w:r>
      <m:oMath>
        <m:r>
          <w:rPr>
            <w:rFonts w:ascii="Cambria Math" w:eastAsiaTheme="minorEastAsia" w:hAnsi="Cambria Math"/>
          </w:rPr>
          <m:t>K(r)</m:t>
        </m:r>
      </m:oMath>
      <w:r w:rsidR="00E6289C">
        <w:rPr>
          <w:rFonts w:eastAsiaTheme="minorEastAsia"/>
        </w:rPr>
        <w:t xml:space="preserve"> is telescope efficiency function that is supposed to go from near 0 to plateauing at 1. If we plot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E6289C">
        <w:rPr>
          <w:rFonts w:eastAsiaTheme="minorEastAsia"/>
        </w:rPr>
        <w:t xml:space="preserve"> against </w:t>
      </w:r>
      <m:oMath>
        <m:r>
          <w:rPr>
            <w:rFonts w:ascii="Cambria Math" w:eastAsiaTheme="minorEastAsia" w:hAnsi="Cambria Math"/>
          </w:rPr>
          <m:t>ρ</m:t>
        </m:r>
      </m:oMath>
      <w:r w:rsidR="00E6289C">
        <w:rPr>
          <w:rFonts w:eastAsiaTheme="minorEastAsia"/>
        </w:rPr>
        <w:t xml:space="preserve"> and assume at large ranges </w:t>
      </w:r>
      <m:oMath>
        <m:r>
          <w:rPr>
            <w:rFonts w:ascii="Cambria Math" w:eastAsiaTheme="minorEastAsia" w:hAnsi="Cambria Math"/>
          </w:rPr>
          <m:t>K(r)</m:t>
        </m:r>
      </m:oMath>
      <w:r w:rsidR="00E6289C">
        <w:rPr>
          <w:rFonts w:eastAsiaTheme="minorEastAsia"/>
        </w:rPr>
        <w:t xml:space="preserve"> plateaus to 1, we should see a nice linear line given by data points from large ranges. However we do not see this </w:t>
      </w:r>
      <w:r w:rsidR="004712F4">
        <w:rPr>
          <w:rFonts w:eastAsiaTheme="minorEastAsia"/>
        </w:rPr>
        <w:t>linear relationship</w:t>
      </w:r>
      <w:r w:rsidR="00E6289C">
        <w:rPr>
          <w:rFonts w:eastAsiaTheme="minorEastAsia"/>
        </w:rPr>
        <w:t xml:space="preserve"> even from the largest range (15)</w:t>
      </w:r>
      <w:r w:rsidR="007C3928">
        <w:rPr>
          <w:rFonts w:eastAsiaTheme="minorEastAsia"/>
        </w:rPr>
        <w:t xml:space="preserve"> as shown below. </w:t>
      </w:r>
      <w:r w:rsidR="004712F4">
        <w:rPr>
          <w:rFonts w:eastAsiaTheme="minorEastAsia"/>
        </w:rPr>
        <w:t>It could mean our current data is not beyond CBL telescope efficiency range yet (</w:t>
      </w:r>
      <m:oMath>
        <m:r>
          <w:rPr>
            <w:rFonts w:ascii="Cambria Math" w:eastAsiaTheme="minorEastAsia" w:hAnsi="Cambria Math"/>
          </w:rPr>
          <m:t>K(r)</m:t>
        </m:r>
      </m:oMath>
      <w:r w:rsidR="004712F4">
        <w:rPr>
          <w:rFonts w:eastAsiaTheme="minorEastAsia"/>
        </w:rPr>
        <w:t xml:space="preserve"> does not plateau yet in any range of our current data).  </w:t>
      </w:r>
    </w:p>
    <w:p w:rsidR="00E6289C" w:rsidRDefault="007C3928">
      <w:r>
        <w:rPr>
          <w:noProof/>
        </w:rPr>
        <w:drawing>
          <wp:inline distT="0" distB="0" distL="0" distR="0">
            <wp:extent cx="5943600" cy="34410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rsquare-vs-rho.tif"/>
                    <pic:cNvPicPr/>
                  </pic:nvPicPr>
                  <pic:blipFill>
                    <a:blip r:embed="rId5">
                      <a:extLst>
                        <a:ext uri="{28A0092B-C50C-407E-A947-70E740481C1C}">
                          <a14:useLocalDpi xmlns:a14="http://schemas.microsoft.com/office/drawing/2010/main" val="0"/>
                        </a:ext>
                      </a:extLst>
                    </a:blip>
                    <a:stretch>
                      <a:fillRect/>
                    </a:stretch>
                  </pic:blipFill>
                  <pic:spPr>
                    <a:xfrm>
                      <a:off x="0" y="0"/>
                      <a:ext cx="5943600" cy="3441065"/>
                    </a:xfrm>
                    <a:prstGeom prst="rect">
                      <a:avLst/>
                    </a:prstGeom>
                  </pic:spPr>
                </pic:pic>
              </a:graphicData>
            </a:graphic>
          </wp:inline>
        </w:drawing>
      </w:r>
    </w:p>
    <w:p w:rsidR="00343271" w:rsidRDefault="00343271"/>
    <w:p w:rsidR="00343271" w:rsidRDefault="00343271">
      <w:pPr>
        <w:rPr>
          <w:rFonts w:eastAsiaTheme="minorEastAsia"/>
        </w:rPr>
      </w:pPr>
      <w:r>
        <w:t xml:space="preserve">Base on DWEL’s calibration experience, it is very difficult to estimate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rFonts w:eastAsiaTheme="minorEastAsia"/>
        </w:rPr>
        <w:t xml:space="preserve"> and </w:t>
      </w:r>
      <m:oMath>
        <m:r>
          <w:rPr>
            <w:rFonts w:ascii="Cambria Math" w:eastAsiaTheme="minorEastAsia" w:hAnsi="Cambria Math"/>
          </w:rPr>
          <m:t>K(r)</m:t>
        </m:r>
      </m:oMath>
      <w:r>
        <w:rPr>
          <w:rFonts w:eastAsiaTheme="minorEastAsia"/>
        </w:rPr>
        <w:t xml:space="preserve"> of even a known function form because of heavy nonlinear optimization involved in this estimation. Another path to find the relationship between DN, reflectance and range is using a variable range power </w:t>
      </w:r>
      <m:oMath>
        <m:r>
          <w:rPr>
            <w:rFonts w:ascii="Cambria Math" w:eastAsiaTheme="minorEastAsia" w:hAnsi="Cambria Math"/>
          </w:rPr>
          <m:t>b</m:t>
        </m:r>
      </m:oMath>
      <w:r>
        <w:rPr>
          <w:rFonts w:eastAsiaTheme="minorEastAsia"/>
        </w:rPr>
        <w:t xml:space="preserve"> as the following equation. Now </w:t>
      </w:r>
      <m:oMath>
        <m:r>
          <w:rPr>
            <w:rFonts w:ascii="Cambria Math" w:eastAsiaTheme="minorEastAsia" w:hAnsi="Cambria Math"/>
          </w:rPr>
          <m:t>K(r)</m:t>
        </m:r>
      </m:oMath>
      <w:r>
        <w:rPr>
          <w:rFonts w:eastAsiaTheme="minorEastAsia"/>
        </w:rPr>
        <w:t xml:space="preserve"> is implicit in this range power </w:t>
      </w:r>
      <m:oMath>
        <m:r>
          <w:rPr>
            <w:rFonts w:ascii="Cambria Math" w:eastAsiaTheme="minorEastAsia" w:hAnsi="Cambria Math"/>
          </w:rPr>
          <m:t>b</m:t>
        </m:r>
      </m:oMath>
      <w:r>
        <w:rPr>
          <w:rFonts w:eastAsiaTheme="minorEastAsia"/>
        </w:rPr>
        <w:t xml:space="preserve">. </w:t>
      </w:r>
    </w:p>
    <w:p w:rsidR="00343271" w:rsidRPr="00343271" w:rsidRDefault="00343271">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⋅ρ⋅</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b</m:t>
                  </m:r>
                </m:sup>
              </m:sSup>
            </m:den>
          </m:f>
        </m:oMath>
      </m:oMathPara>
    </w:p>
    <w:p w:rsidR="00343271" w:rsidRDefault="00343271">
      <w:pPr>
        <w:rPr>
          <w:rFonts w:eastAsiaTheme="minorEastAsia"/>
        </w:rPr>
      </w:pPr>
      <w:r>
        <w:t xml:space="preserve">One thing to notice here is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rFonts w:eastAsiaTheme="minorEastAsia"/>
        </w:rPr>
        <w:t xml:space="preserve"> includes both outgoing power (nominally constant) and detector gain (could be constant or could not be).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w:r>
        <w:rPr>
          <w:rFonts w:eastAsiaTheme="minorEastAsia"/>
        </w:rPr>
        <w:t xml:space="preserve"> is constant for a lidar with linear-responsive detector but not constant for a lidar with nonlinear-responsive detector. </w:t>
      </w:r>
    </w:p>
    <w:p w:rsidR="00343271" w:rsidRDefault="00343271">
      <w:pPr>
        <w:rPr>
          <w:rFonts w:eastAsiaTheme="minorEastAsia"/>
        </w:rPr>
      </w:pPr>
      <w:r>
        <w:rPr>
          <w:rFonts w:eastAsiaTheme="minorEastAsia"/>
        </w:rPr>
        <w:t>A simple manipulation of above equation gives us:</w:t>
      </w:r>
    </w:p>
    <w:p w:rsidR="00343271" w:rsidRPr="0096340C" w:rsidRDefault="00343271" w:rsidP="00343271">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ρ</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r</m:t>
                      </m:r>
                    </m:e>
                  </m:d>
                </m:e>
              </m:d>
            </m:e>
          </m:func>
          <m:r>
            <w:rPr>
              <w:rFonts w:ascii="Cambria Math" w:hAnsi="Cambria Math"/>
            </w:rPr>
            <m:t>=b</m:t>
          </m:r>
          <m:func>
            <m:funcPr>
              <m:ctrlPr>
                <w:rPr>
                  <w:rFonts w:ascii="Cambria Math" w:hAnsi="Cambria Math"/>
                  <w:i/>
                </w:rPr>
              </m:ctrlPr>
            </m:funcPr>
            <m:fName>
              <m:r>
                <m:rPr>
                  <m:sty m:val="p"/>
                </m:rPr>
                <w:rPr>
                  <w:rFonts w:ascii="Cambria Math" w:hAnsi="Cambria Math"/>
                </w:rPr>
                <m:t>ln</m:t>
              </m:r>
            </m:fName>
            <m:e>
              <m:r>
                <w:rPr>
                  <w:rFonts w:ascii="Cambria Math" w:hAnsi="Cambria Math"/>
                </w:rPr>
                <m:t>(r)</m:t>
              </m:r>
            </m:e>
          </m:func>
          <m:r>
            <w:rPr>
              <w:rFonts w:ascii="Cambria Math" w:hAnsi="Cambria Math"/>
            </w:rPr>
            <m:t>-</m:t>
          </m:r>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oMath>
      </m:oMathPara>
    </w:p>
    <w:p w:rsidR="00343271" w:rsidRDefault="002F434A">
      <w:pPr>
        <w:rPr>
          <w:rFonts w:eastAsiaTheme="minorEastAsia"/>
        </w:rPr>
      </w:pPr>
      <w:r>
        <w:t xml:space="preserve">This suggests a supposed linear relationship between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ρ</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r</m:t>
                    </m:r>
                  </m:e>
                </m:d>
              </m:e>
            </m:d>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(r)</m:t>
            </m:r>
          </m:e>
        </m:func>
      </m:oMath>
      <w:r w:rsidR="00C0411E">
        <w:rPr>
          <w:rFonts w:eastAsiaTheme="minorEastAsia"/>
        </w:rPr>
        <w:t xml:space="preserve">. The slope of the line is range power </w:t>
      </w:r>
      <m:oMath>
        <m:r>
          <w:rPr>
            <w:rFonts w:ascii="Cambria Math" w:eastAsiaTheme="minorEastAsia" w:hAnsi="Cambria Math"/>
          </w:rPr>
          <m:t>b</m:t>
        </m:r>
      </m:oMath>
      <w:r w:rsidR="00C0411E">
        <w:rPr>
          <w:rFonts w:eastAsiaTheme="minorEastAsia"/>
        </w:rPr>
        <w:t xml:space="preserve"> and the intercept is </w:t>
      </w:r>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e>
        </m:func>
      </m:oMath>
      <w:r w:rsidR="00C0411E">
        <w:rPr>
          <w:rFonts w:eastAsiaTheme="minorEastAsia"/>
        </w:rPr>
        <w:t xml:space="preserve">. Here we will see some quite interesting thing about CBL. </w:t>
      </w:r>
    </w:p>
    <w:p w:rsidR="00C0411E" w:rsidRDefault="00F25299">
      <w:r>
        <w:rPr>
          <w:noProof/>
        </w:rPr>
        <w:drawing>
          <wp:inline distT="0" distB="0" distL="0" distR="0">
            <wp:extent cx="5943600" cy="3355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ble-range-power.tif"/>
                    <pic:cNvPicPr/>
                  </pic:nvPicPr>
                  <pic:blipFill>
                    <a:blip r:embed="rId6">
                      <a:extLst>
                        <a:ext uri="{28A0092B-C50C-407E-A947-70E740481C1C}">
                          <a14:useLocalDpi xmlns:a14="http://schemas.microsoft.com/office/drawing/2010/main" val="0"/>
                        </a:ext>
                      </a:extLst>
                    </a:blip>
                    <a:stretch>
                      <a:fillRect/>
                    </a:stretch>
                  </pic:blipFill>
                  <pic:spPr>
                    <a:xfrm>
                      <a:off x="0" y="0"/>
                      <a:ext cx="5943600" cy="3355340"/>
                    </a:xfrm>
                    <a:prstGeom prst="rect">
                      <a:avLst/>
                    </a:prstGeom>
                  </pic:spPr>
                </pic:pic>
              </a:graphicData>
            </a:graphic>
          </wp:inline>
        </w:drawing>
      </w:r>
    </w:p>
    <w:p w:rsidR="00B87170" w:rsidRDefault="00F25299">
      <w:pPr>
        <w:rPr>
          <w:rFonts w:eastAsiaTheme="minorEastAsia"/>
        </w:rPr>
      </w:pPr>
      <w:r>
        <w:t xml:space="preserve">From the right panel, we see each subpanel of a certain reflectance clearly show a nice linear line. However different subpanels with different reflectances have different lines. But all lines have very close slope, i.e. </w:t>
      </w:r>
      <m:oMath>
        <m:r>
          <w:rPr>
            <w:rFonts w:ascii="Cambria Math" w:hAnsi="Cambria Math"/>
          </w:rPr>
          <m:t>b</m:t>
        </m:r>
      </m:oMath>
      <w:r>
        <w:rPr>
          <w:rFonts w:eastAsiaTheme="minorEastAsia"/>
        </w:rPr>
        <w:t xml:space="preserve"> but different intercept. </w:t>
      </w:r>
    </w:p>
    <w:tbl>
      <w:tblPr>
        <w:tblStyle w:val="TableGrid"/>
        <w:tblW w:w="0" w:type="auto"/>
        <w:tblLook w:val="04A0" w:firstRow="1" w:lastRow="0" w:firstColumn="1" w:lastColumn="0" w:noHBand="0" w:noVBand="1"/>
      </w:tblPr>
      <w:tblGrid>
        <w:gridCol w:w="2257"/>
        <w:gridCol w:w="2456"/>
        <w:gridCol w:w="2534"/>
        <w:gridCol w:w="2329"/>
      </w:tblGrid>
      <w:tr w:rsidR="00ED55CA" w:rsidTr="00AD7B9A">
        <w:tc>
          <w:tcPr>
            <w:tcW w:w="2257" w:type="dxa"/>
            <w:vAlign w:val="center"/>
          </w:tcPr>
          <w:p w:rsidR="00ED55CA" w:rsidRDefault="00ED55CA" w:rsidP="00AD7B9A">
            <w:pPr>
              <w:jc w:val="center"/>
              <w:rPr>
                <w:rFonts w:eastAsiaTheme="minorEastAsia"/>
              </w:rPr>
            </w:pPr>
            <m:oMathPara>
              <m:oMath>
                <m:r>
                  <w:rPr>
                    <w:rFonts w:ascii="Cambria Math" w:eastAsiaTheme="minorEastAsia" w:hAnsi="Cambria Math"/>
                  </w:rPr>
                  <m:t>ρ</m:t>
                </m:r>
              </m:oMath>
            </m:oMathPara>
          </w:p>
        </w:tc>
        <w:tc>
          <w:tcPr>
            <w:tcW w:w="2456" w:type="dxa"/>
            <w:vAlign w:val="center"/>
          </w:tcPr>
          <w:p w:rsidR="00ED55CA" w:rsidRDefault="00ED55CA" w:rsidP="00AD7B9A">
            <w:pPr>
              <w:jc w:val="center"/>
              <w:rPr>
                <w:rFonts w:eastAsiaTheme="minorEastAsia"/>
              </w:rPr>
            </w:pPr>
            <w:r>
              <w:rPr>
                <w:rFonts w:eastAsiaTheme="minorEastAsia"/>
              </w:rPr>
              <w:t xml:space="preserve">Range power: </w:t>
            </w:r>
            <m:oMath>
              <m:r>
                <w:rPr>
                  <w:rFonts w:ascii="Cambria Math" w:eastAsiaTheme="minorEastAsia" w:hAnsi="Cambria Math"/>
                </w:rPr>
                <m:t>b</m:t>
              </m:r>
            </m:oMath>
          </w:p>
        </w:tc>
        <w:tc>
          <w:tcPr>
            <w:tcW w:w="2534" w:type="dxa"/>
            <w:vAlign w:val="center"/>
          </w:tcPr>
          <w:p w:rsidR="00ED55CA" w:rsidRDefault="00ED55CA" w:rsidP="00AD7B9A">
            <w:pPr>
              <w:jc w:val="center"/>
              <w:rPr>
                <w:rFonts w:eastAsiaTheme="minorEastAsia"/>
              </w:rPr>
            </w:pPr>
            <w:r>
              <w:rPr>
                <w:rFonts w:eastAsiaTheme="minorEastAsia"/>
              </w:rPr>
              <w:t xml:space="preserve">Intercept:  </w:t>
            </w:r>
            <m:oMath>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e>
              </m:func>
            </m:oMath>
          </w:p>
        </w:tc>
        <w:tc>
          <w:tcPr>
            <w:tcW w:w="2329" w:type="dxa"/>
            <w:vAlign w:val="center"/>
          </w:tcPr>
          <w:p w:rsidR="00ED55CA" w:rsidRDefault="00ED55CA" w:rsidP="00AD7B9A">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m:oMathPara>
          </w:p>
        </w:tc>
      </w:tr>
      <w:tr w:rsidR="00ED55CA" w:rsidTr="00AD7B9A">
        <w:tc>
          <w:tcPr>
            <w:tcW w:w="2257" w:type="dxa"/>
            <w:vAlign w:val="center"/>
          </w:tcPr>
          <w:p w:rsidR="00ED55CA" w:rsidRDefault="00ED55CA" w:rsidP="00AD7B9A">
            <w:pPr>
              <w:jc w:val="center"/>
              <w:rPr>
                <w:rFonts w:eastAsiaTheme="minorEastAsia"/>
              </w:rPr>
            </w:pPr>
            <w:r>
              <w:rPr>
                <w:rFonts w:eastAsiaTheme="minorEastAsia"/>
              </w:rPr>
              <w:t>0.895</w:t>
            </w:r>
          </w:p>
        </w:tc>
        <w:tc>
          <w:tcPr>
            <w:tcW w:w="2456" w:type="dxa"/>
            <w:vAlign w:val="center"/>
          </w:tcPr>
          <w:p w:rsidR="00ED55CA" w:rsidRDefault="00ED55CA" w:rsidP="00AD7B9A">
            <w:pPr>
              <w:jc w:val="center"/>
              <w:rPr>
                <w:rFonts w:eastAsiaTheme="minorEastAsia"/>
              </w:rPr>
            </w:pPr>
            <w:r>
              <w:rPr>
                <w:rFonts w:eastAsiaTheme="minorEastAsia"/>
              </w:rPr>
              <w:t>0.2284</w:t>
            </w:r>
          </w:p>
        </w:tc>
        <w:tc>
          <w:tcPr>
            <w:tcW w:w="2534" w:type="dxa"/>
            <w:vAlign w:val="center"/>
          </w:tcPr>
          <w:p w:rsidR="00ED55CA" w:rsidRDefault="00ED55CA" w:rsidP="00AD7B9A">
            <w:pPr>
              <w:jc w:val="center"/>
              <w:rPr>
                <w:rFonts w:eastAsiaTheme="minorEastAsia"/>
              </w:rPr>
            </w:pPr>
            <w:r>
              <w:rPr>
                <w:rFonts w:eastAsiaTheme="minorEastAsia"/>
              </w:rPr>
              <w:t>-6.7793</w:t>
            </w:r>
          </w:p>
        </w:tc>
        <w:tc>
          <w:tcPr>
            <w:tcW w:w="2329" w:type="dxa"/>
            <w:vAlign w:val="center"/>
          </w:tcPr>
          <w:p w:rsidR="00ED55CA" w:rsidRDefault="008F6D24" w:rsidP="00AD7B9A">
            <w:pPr>
              <w:jc w:val="center"/>
              <w:rPr>
                <w:rFonts w:eastAsiaTheme="minorEastAsia"/>
              </w:rPr>
            </w:pPr>
            <w:r w:rsidRPr="008F6D24">
              <w:rPr>
                <w:rFonts w:eastAsiaTheme="minorEastAsia"/>
              </w:rPr>
              <w:t>879.423</w:t>
            </w:r>
          </w:p>
        </w:tc>
      </w:tr>
      <w:tr w:rsidR="00ED55CA" w:rsidTr="00AD7B9A">
        <w:tc>
          <w:tcPr>
            <w:tcW w:w="2257" w:type="dxa"/>
            <w:vAlign w:val="center"/>
          </w:tcPr>
          <w:p w:rsidR="00ED55CA" w:rsidRDefault="00ED55CA" w:rsidP="00AD7B9A">
            <w:pPr>
              <w:jc w:val="center"/>
              <w:rPr>
                <w:rFonts w:eastAsiaTheme="minorEastAsia"/>
              </w:rPr>
            </w:pPr>
            <w:r>
              <w:rPr>
                <w:rFonts w:eastAsiaTheme="minorEastAsia"/>
              </w:rPr>
              <w:t>0.5415</w:t>
            </w:r>
          </w:p>
        </w:tc>
        <w:tc>
          <w:tcPr>
            <w:tcW w:w="2456" w:type="dxa"/>
            <w:vAlign w:val="center"/>
          </w:tcPr>
          <w:p w:rsidR="00ED55CA" w:rsidRDefault="00ED55CA" w:rsidP="00AD7B9A">
            <w:pPr>
              <w:jc w:val="center"/>
              <w:rPr>
                <w:rFonts w:eastAsiaTheme="minorEastAsia"/>
              </w:rPr>
            </w:pPr>
            <w:r>
              <w:rPr>
                <w:rFonts w:eastAsiaTheme="minorEastAsia"/>
              </w:rPr>
              <w:t>0.2475</w:t>
            </w:r>
          </w:p>
        </w:tc>
        <w:tc>
          <w:tcPr>
            <w:tcW w:w="2534" w:type="dxa"/>
            <w:vAlign w:val="center"/>
          </w:tcPr>
          <w:p w:rsidR="00ED55CA" w:rsidRDefault="00ED55CA" w:rsidP="00AD7B9A">
            <w:pPr>
              <w:jc w:val="center"/>
              <w:rPr>
                <w:rFonts w:eastAsiaTheme="minorEastAsia"/>
              </w:rPr>
            </w:pPr>
            <w:r>
              <w:rPr>
                <w:rFonts w:eastAsiaTheme="minorEastAsia"/>
              </w:rPr>
              <w:t>-7.2516</w:t>
            </w:r>
          </w:p>
        </w:tc>
        <w:tc>
          <w:tcPr>
            <w:tcW w:w="2329" w:type="dxa"/>
            <w:vAlign w:val="center"/>
          </w:tcPr>
          <w:p w:rsidR="00ED55CA" w:rsidRDefault="008F6D24" w:rsidP="00AD7B9A">
            <w:pPr>
              <w:jc w:val="center"/>
              <w:rPr>
                <w:rFonts w:eastAsiaTheme="minorEastAsia"/>
              </w:rPr>
            </w:pPr>
            <w:r w:rsidRPr="008F6D24">
              <w:rPr>
                <w:rFonts w:eastAsiaTheme="minorEastAsia"/>
              </w:rPr>
              <w:t>1410.312</w:t>
            </w:r>
          </w:p>
        </w:tc>
      </w:tr>
      <w:tr w:rsidR="00ED55CA" w:rsidTr="00AD7B9A">
        <w:tc>
          <w:tcPr>
            <w:tcW w:w="2257" w:type="dxa"/>
            <w:vAlign w:val="center"/>
          </w:tcPr>
          <w:p w:rsidR="00ED55CA" w:rsidRDefault="00ED55CA" w:rsidP="00AD7B9A">
            <w:pPr>
              <w:jc w:val="center"/>
              <w:rPr>
                <w:rFonts w:eastAsiaTheme="minorEastAsia"/>
              </w:rPr>
            </w:pPr>
            <w:r>
              <w:rPr>
                <w:rFonts w:eastAsiaTheme="minorEastAsia"/>
              </w:rPr>
              <w:t>0.303</w:t>
            </w:r>
          </w:p>
        </w:tc>
        <w:tc>
          <w:tcPr>
            <w:tcW w:w="2456" w:type="dxa"/>
            <w:vAlign w:val="center"/>
          </w:tcPr>
          <w:p w:rsidR="00ED55CA" w:rsidRDefault="00ED55CA" w:rsidP="00AD7B9A">
            <w:pPr>
              <w:jc w:val="center"/>
              <w:rPr>
                <w:rFonts w:eastAsiaTheme="minorEastAsia"/>
              </w:rPr>
            </w:pPr>
            <w:r>
              <w:rPr>
                <w:rFonts w:eastAsiaTheme="minorEastAsia"/>
              </w:rPr>
              <w:t>0.2646</w:t>
            </w:r>
          </w:p>
        </w:tc>
        <w:tc>
          <w:tcPr>
            <w:tcW w:w="2534" w:type="dxa"/>
            <w:vAlign w:val="center"/>
          </w:tcPr>
          <w:p w:rsidR="00ED55CA" w:rsidRDefault="00ED55CA" w:rsidP="00AD7B9A">
            <w:pPr>
              <w:jc w:val="center"/>
              <w:rPr>
                <w:rFonts w:eastAsiaTheme="minorEastAsia"/>
              </w:rPr>
            </w:pPr>
            <w:r>
              <w:rPr>
                <w:rFonts w:eastAsiaTheme="minorEastAsia"/>
              </w:rPr>
              <w:t>-7.7659</w:t>
            </w:r>
          </w:p>
        </w:tc>
        <w:tc>
          <w:tcPr>
            <w:tcW w:w="2329" w:type="dxa"/>
            <w:vAlign w:val="center"/>
          </w:tcPr>
          <w:p w:rsidR="00ED55CA" w:rsidRDefault="008F6D24" w:rsidP="00AD7B9A">
            <w:pPr>
              <w:jc w:val="center"/>
              <w:rPr>
                <w:rFonts w:eastAsiaTheme="minorEastAsia"/>
              </w:rPr>
            </w:pPr>
            <w:r w:rsidRPr="008F6D24">
              <w:rPr>
                <w:rFonts w:eastAsiaTheme="minorEastAsia"/>
              </w:rPr>
              <w:t>2358.735</w:t>
            </w:r>
          </w:p>
        </w:tc>
      </w:tr>
      <w:tr w:rsidR="00ED55CA" w:rsidTr="00AD7B9A">
        <w:tc>
          <w:tcPr>
            <w:tcW w:w="2257" w:type="dxa"/>
            <w:vAlign w:val="center"/>
          </w:tcPr>
          <w:p w:rsidR="00ED55CA" w:rsidRDefault="00ED55CA" w:rsidP="00AD7B9A">
            <w:pPr>
              <w:jc w:val="center"/>
              <w:rPr>
                <w:rFonts w:eastAsiaTheme="minorEastAsia"/>
              </w:rPr>
            </w:pPr>
            <w:r>
              <w:rPr>
                <w:rFonts w:eastAsiaTheme="minorEastAsia"/>
              </w:rPr>
              <w:t>0.1639</w:t>
            </w:r>
          </w:p>
        </w:tc>
        <w:tc>
          <w:tcPr>
            <w:tcW w:w="2456" w:type="dxa"/>
            <w:vAlign w:val="center"/>
          </w:tcPr>
          <w:p w:rsidR="00ED55CA" w:rsidRDefault="00ED55CA" w:rsidP="00AD7B9A">
            <w:pPr>
              <w:jc w:val="center"/>
              <w:rPr>
                <w:rFonts w:eastAsiaTheme="minorEastAsia"/>
              </w:rPr>
            </w:pPr>
            <w:r>
              <w:rPr>
                <w:rFonts w:eastAsiaTheme="minorEastAsia"/>
              </w:rPr>
              <w:t>0.2613</w:t>
            </w:r>
          </w:p>
        </w:tc>
        <w:tc>
          <w:tcPr>
            <w:tcW w:w="2534" w:type="dxa"/>
            <w:vAlign w:val="center"/>
          </w:tcPr>
          <w:p w:rsidR="00ED55CA" w:rsidRDefault="00ED55CA" w:rsidP="00AD7B9A">
            <w:pPr>
              <w:jc w:val="center"/>
              <w:rPr>
                <w:rFonts w:eastAsiaTheme="minorEastAsia"/>
              </w:rPr>
            </w:pPr>
            <w:r>
              <w:rPr>
                <w:rFonts w:eastAsiaTheme="minorEastAsia"/>
              </w:rPr>
              <w:t>-8.2780</w:t>
            </w:r>
          </w:p>
        </w:tc>
        <w:tc>
          <w:tcPr>
            <w:tcW w:w="2329" w:type="dxa"/>
            <w:vAlign w:val="center"/>
          </w:tcPr>
          <w:p w:rsidR="00ED55CA" w:rsidRDefault="008F6D24" w:rsidP="00AD7B9A">
            <w:pPr>
              <w:jc w:val="center"/>
              <w:rPr>
                <w:rFonts w:eastAsiaTheme="minorEastAsia"/>
              </w:rPr>
            </w:pPr>
            <w:r w:rsidRPr="008F6D24">
              <w:rPr>
                <w:rFonts w:eastAsiaTheme="minorEastAsia"/>
              </w:rPr>
              <w:t>3936.383</w:t>
            </w:r>
          </w:p>
        </w:tc>
      </w:tr>
      <w:tr w:rsidR="00ED55CA" w:rsidTr="00AD7B9A">
        <w:tc>
          <w:tcPr>
            <w:tcW w:w="2257" w:type="dxa"/>
            <w:vAlign w:val="center"/>
          </w:tcPr>
          <w:p w:rsidR="00ED55CA" w:rsidRDefault="00ED55CA" w:rsidP="00AD7B9A">
            <w:pPr>
              <w:jc w:val="center"/>
              <w:rPr>
                <w:rFonts w:eastAsiaTheme="minorEastAsia"/>
              </w:rPr>
            </w:pPr>
            <w:r>
              <w:rPr>
                <w:rFonts w:eastAsiaTheme="minorEastAsia"/>
              </w:rPr>
              <w:t>0.1112</w:t>
            </w:r>
          </w:p>
        </w:tc>
        <w:tc>
          <w:tcPr>
            <w:tcW w:w="2456" w:type="dxa"/>
            <w:vAlign w:val="center"/>
          </w:tcPr>
          <w:p w:rsidR="00ED55CA" w:rsidRDefault="00ED55CA" w:rsidP="00AD7B9A">
            <w:pPr>
              <w:jc w:val="center"/>
              <w:rPr>
                <w:rFonts w:eastAsiaTheme="minorEastAsia"/>
              </w:rPr>
            </w:pPr>
            <w:r>
              <w:rPr>
                <w:rFonts w:eastAsiaTheme="minorEastAsia"/>
              </w:rPr>
              <w:t>0.2535</w:t>
            </w:r>
          </w:p>
        </w:tc>
        <w:tc>
          <w:tcPr>
            <w:tcW w:w="2534" w:type="dxa"/>
            <w:vAlign w:val="center"/>
          </w:tcPr>
          <w:p w:rsidR="00ED55CA" w:rsidRDefault="00ED55CA" w:rsidP="00AD7B9A">
            <w:pPr>
              <w:jc w:val="center"/>
              <w:rPr>
                <w:rFonts w:eastAsiaTheme="minorEastAsia"/>
              </w:rPr>
            </w:pPr>
            <w:r w:rsidRPr="00ED55CA">
              <w:rPr>
                <w:rFonts w:eastAsiaTheme="minorEastAsia"/>
              </w:rPr>
              <w:t>-8.5780</w:t>
            </w:r>
          </w:p>
        </w:tc>
        <w:tc>
          <w:tcPr>
            <w:tcW w:w="2329" w:type="dxa"/>
            <w:vAlign w:val="center"/>
          </w:tcPr>
          <w:p w:rsidR="00ED55CA" w:rsidRDefault="008F6D24" w:rsidP="00AD7B9A">
            <w:pPr>
              <w:jc w:val="center"/>
              <w:rPr>
                <w:rFonts w:eastAsiaTheme="minorEastAsia"/>
              </w:rPr>
            </w:pPr>
            <w:r w:rsidRPr="008F6D24">
              <w:rPr>
                <w:rFonts w:eastAsiaTheme="minorEastAsia"/>
              </w:rPr>
              <w:t>5313.730</w:t>
            </w:r>
          </w:p>
        </w:tc>
      </w:tr>
      <w:tr w:rsidR="00ED55CA" w:rsidTr="00AD7B9A">
        <w:tc>
          <w:tcPr>
            <w:tcW w:w="2257" w:type="dxa"/>
            <w:vAlign w:val="center"/>
          </w:tcPr>
          <w:p w:rsidR="00ED55CA" w:rsidRDefault="00ED55CA" w:rsidP="00AD7B9A">
            <w:pPr>
              <w:jc w:val="center"/>
              <w:rPr>
                <w:rFonts w:eastAsiaTheme="minorEastAsia"/>
              </w:rPr>
            </w:pPr>
            <w:r>
              <w:rPr>
                <w:rFonts w:eastAsiaTheme="minorEastAsia"/>
              </w:rPr>
              <w:t>0.0887</w:t>
            </w:r>
          </w:p>
        </w:tc>
        <w:tc>
          <w:tcPr>
            <w:tcW w:w="2456" w:type="dxa"/>
            <w:vAlign w:val="center"/>
          </w:tcPr>
          <w:p w:rsidR="00ED55CA" w:rsidRDefault="00ED55CA" w:rsidP="00AD7B9A">
            <w:pPr>
              <w:jc w:val="center"/>
              <w:rPr>
                <w:rFonts w:eastAsiaTheme="minorEastAsia"/>
              </w:rPr>
            </w:pPr>
            <w:r>
              <w:rPr>
                <w:rFonts w:eastAsiaTheme="minorEastAsia"/>
              </w:rPr>
              <w:t>0.2488</w:t>
            </w:r>
          </w:p>
        </w:tc>
        <w:tc>
          <w:tcPr>
            <w:tcW w:w="2534" w:type="dxa"/>
            <w:vAlign w:val="center"/>
          </w:tcPr>
          <w:p w:rsidR="00ED55CA" w:rsidRDefault="00ED55CA" w:rsidP="00AD7B9A">
            <w:pPr>
              <w:jc w:val="center"/>
              <w:rPr>
                <w:rFonts w:eastAsiaTheme="minorEastAsia"/>
              </w:rPr>
            </w:pPr>
            <w:r w:rsidRPr="00ED55CA">
              <w:rPr>
                <w:rFonts w:eastAsiaTheme="minorEastAsia"/>
              </w:rPr>
              <w:t>-8.7452</w:t>
            </w:r>
          </w:p>
        </w:tc>
        <w:tc>
          <w:tcPr>
            <w:tcW w:w="2329" w:type="dxa"/>
            <w:vAlign w:val="center"/>
          </w:tcPr>
          <w:p w:rsidR="00ED55CA" w:rsidRDefault="008F6D24" w:rsidP="00AD7B9A">
            <w:pPr>
              <w:jc w:val="center"/>
              <w:rPr>
                <w:rFonts w:eastAsiaTheme="minorEastAsia"/>
              </w:rPr>
            </w:pPr>
            <w:r w:rsidRPr="008F6D24">
              <w:rPr>
                <w:rFonts w:eastAsiaTheme="minorEastAsia"/>
              </w:rPr>
              <w:t>6280.242</w:t>
            </w:r>
          </w:p>
        </w:tc>
      </w:tr>
    </w:tbl>
    <w:p w:rsidR="00B87170" w:rsidRDefault="00B87170">
      <w:pPr>
        <w:rPr>
          <w:rFonts w:eastAsiaTheme="minorEastAsia"/>
        </w:rPr>
      </w:pPr>
    </w:p>
    <w:p w:rsidR="00171BAE" w:rsidRDefault="00F25299">
      <w:pPr>
        <w:rPr>
          <w:rFonts w:eastAsiaTheme="minorEastAsia"/>
        </w:rPr>
      </w:pPr>
      <w:r>
        <w:rPr>
          <w:rFonts w:eastAsiaTheme="minorEastAsia"/>
        </w:rPr>
        <w:lastRenderedPageBreak/>
        <w:t xml:space="preserve">The same </w:t>
      </w:r>
      <m:oMath>
        <m:r>
          <w:rPr>
            <w:rFonts w:ascii="Cambria Math" w:eastAsiaTheme="minorEastAsia" w:hAnsi="Cambria Math"/>
          </w:rPr>
          <m:t>b</m:t>
        </m:r>
      </m:oMath>
      <w:r>
        <w:rPr>
          <w:rFonts w:eastAsiaTheme="minorEastAsia"/>
        </w:rPr>
        <w:t xml:space="preserve"> means all the data points suggest the same telescope efficiency. However the different intercept means different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w:r>
        <w:rPr>
          <w:rFonts w:eastAsiaTheme="minorEastAsia"/>
        </w:rPr>
        <w:t xml:space="preserve">. If CBL’s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w:r>
        <w:rPr>
          <w:rFonts w:eastAsiaTheme="minorEastAsia"/>
        </w:rPr>
        <w:t xml:space="preserve"> is not constant but related to reflectance, or more precisely related to return power (watts), it means CBL’s detector gain is not constant but varies according to return power strength. </w:t>
      </w:r>
      <w:r w:rsidR="00AD7B9A">
        <w:rPr>
          <w:rFonts w:eastAsiaTheme="minorEastAsia"/>
        </w:rPr>
        <w:t xml:space="preserve">High return power, low gain and low return power, high gain as </w:t>
      </w:r>
      <w:r w:rsidR="002F6F25">
        <w:rPr>
          <w:rFonts w:eastAsiaTheme="minorEastAsia"/>
        </w:rPr>
        <w:t>suggested by</w:t>
      </w:r>
      <w:r w:rsidR="00AD7B9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w:r w:rsidR="002C30F1">
        <w:rPr>
          <w:rFonts w:eastAsiaTheme="minorEastAsia"/>
        </w:rPr>
        <w:t xml:space="preserve"> in </w:t>
      </w:r>
      <w:r w:rsidR="00AD7B9A">
        <w:rPr>
          <w:rFonts w:eastAsiaTheme="minorEastAsia"/>
        </w:rPr>
        <w:t xml:space="preserve">the above table. </w:t>
      </w:r>
      <w:r w:rsidR="00171BAE">
        <w:rPr>
          <w:rFonts w:eastAsiaTheme="minorEastAsia"/>
        </w:rPr>
        <w:t xml:space="preserve">I tentatively dissected the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w:r w:rsidR="00171BAE">
        <w:rPr>
          <w:rFonts w:eastAsiaTheme="minorEastAsia"/>
        </w:rPr>
        <w:t xml:space="preserve"> into the following parts. </w:t>
      </w:r>
    </w:p>
    <w:p w:rsidR="00171BAE" w:rsidRPr="00171BAE" w:rsidRDefault="00171BA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ρ</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m:oMathPara>
    </w:p>
    <w:p w:rsidR="00171BAE" w:rsidRDefault="00171BAE">
      <w:pPr>
        <w:rPr>
          <w:rFonts w:eastAsiaTheme="minorEastAsia"/>
        </w:rPr>
      </w:pPr>
      <w:r>
        <w:rPr>
          <w:rFonts w:eastAsiaTheme="minorEastAsia"/>
        </w:rPr>
        <w:t xml:space="preserve">Which includes the gain </w:t>
      </w:r>
      <m:oMath>
        <m:r>
          <w:rPr>
            <w:rFonts w:ascii="Cambria Math" w:eastAsiaTheme="minorEastAsia" w:hAnsi="Cambria Math"/>
          </w:rPr>
          <m:t>G</m:t>
        </m:r>
      </m:oMath>
      <w:r>
        <w:rPr>
          <w:rFonts w:eastAsiaTheme="minorEastAsia"/>
        </w:rPr>
        <w:t xml:space="preserve"> and outgoing power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Pr>
          <w:rFonts w:eastAsiaTheme="minorEastAsia"/>
        </w:rPr>
        <w:t xml:space="preserve">. And based on the above graph we can assume the CBL’s gain varies with return power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ρ</m:t>
        </m:r>
      </m:oMath>
      <w:r>
        <w:rPr>
          <w:rFonts w:eastAsiaTheme="minorEastAsia"/>
        </w:rPr>
        <w:t xml:space="preserve">. 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Pr>
          <w:rFonts w:eastAsiaTheme="minorEastAsia"/>
        </w:rPr>
        <w:t xml:space="preserve"> is nominally constant, </w:t>
      </w:r>
      <m:oMath>
        <m:r>
          <w:rPr>
            <w:rFonts w:ascii="Cambria Math" w:eastAsiaTheme="minorEastAsia" w:hAnsi="Cambria Math"/>
          </w:rPr>
          <m:t>G</m:t>
        </m:r>
      </m:oMath>
      <w:r>
        <w:rPr>
          <w:rFonts w:eastAsiaTheme="minorEastAsia"/>
        </w:rPr>
        <w:t xml:space="preserve"> can be seen as a function of </w:t>
      </w:r>
      <m:oMath>
        <m:r>
          <w:rPr>
            <w:rFonts w:ascii="Cambria Math" w:eastAsiaTheme="minorEastAsia" w:hAnsi="Cambria Math"/>
          </w:rPr>
          <m:t>ρ</m:t>
        </m:r>
      </m:oMath>
      <w:r>
        <w:rPr>
          <w:rFonts w:eastAsiaTheme="minorEastAsia"/>
        </w:rPr>
        <w:t xml:space="preserve">. </w:t>
      </w:r>
    </w:p>
    <w:p w:rsidR="00F25299" w:rsidRDefault="00171BAE">
      <w:pPr>
        <w:rPr>
          <w:rFonts w:eastAsiaTheme="minorEastAsia"/>
        </w:rPr>
      </w:pPr>
      <w:r>
        <w:rPr>
          <w:rFonts w:eastAsiaTheme="minorEastAsia"/>
        </w:rPr>
        <w:t xml:space="preserve">In this case, it would be worthy to plot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w:r>
        <w:rPr>
          <w:rFonts w:eastAsiaTheme="minorEastAsia"/>
        </w:rPr>
        <w:t xml:space="preserve"> for different </w:t>
      </w:r>
      <m:oMath>
        <m:r>
          <w:rPr>
            <w:rFonts w:ascii="Cambria Math" w:eastAsiaTheme="minorEastAsia" w:hAnsi="Cambria Math"/>
          </w:rPr>
          <m:t>ρ</m:t>
        </m:r>
      </m:oMath>
      <w:r>
        <w:rPr>
          <w:rFonts w:eastAsiaTheme="minorEastAsia"/>
        </w:rPr>
        <w:t xml:space="preserve"> against </w:t>
      </w:r>
      <m:oMath>
        <m:r>
          <w:rPr>
            <w:rFonts w:ascii="Cambria Math" w:eastAsiaTheme="minorEastAsia" w:hAnsi="Cambria Math"/>
          </w:rPr>
          <m:t>ρ</m:t>
        </m:r>
      </m:oMath>
      <w:r w:rsidR="00B87170">
        <w:rPr>
          <w:rFonts w:eastAsiaTheme="minorEastAsia"/>
        </w:rPr>
        <w:t xml:space="preserve"> as following. </w:t>
      </w:r>
    </w:p>
    <w:p w:rsidR="00206DC7" w:rsidRDefault="00206DC7">
      <w:r>
        <w:rPr>
          <w:noProof/>
        </w:rPr>
        <w:drawing>
          <wp:inline distT="0" distB="0" distL="0" distR="0">
            <wp:extent cx="5943600" cy="3396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vs-rho.tif"/>
                    <pic:cNvPicPr/>
                  </pic:nvPicPr>
                  <pic:blipFill>
                    <a:blip r:embed="rId7">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rsidR="00206DC7" w:rsidRDefault="00206DC7">
      <w:pPr>
        <w:rPr>
          <w:rFonts w:eastAsiaTheme="minorEastAsia"/>
        </w:rPr>
      </w:pPr>
      <w:r>
        <w:t xml:space="preserve">Notice that the left panel is </w:t>
      </w:r>
      <m:oMath>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p</m:t>
            </m:r>
          </m:sub>
        </m:sSub>
      </m:oMath>
      <w:r>
        <w:rPr>
          <w:rFonts w:eastAsiaTheme="minorEastAsia"/>
        </w:rPr>
        <w:t xml:space="preserve"> against </w:t>
      </w:r>
      <m:oMath>
        <m:r>
          <w:rPr>
            <w:rFonts w:ascii="Cambria Math" w:eastAsiaTheme="minorEastAsia" w:hAnsi="Cambria Math"/>
          </w:rPr>
          <m:t>ρ</m:t>
        </m:r>
      </m:oMath>
      <w:r>
        <w:rPr>
          <w:rFonts w:eastAsiaTheme="minorEastAsia"/>
        </w:rPr>
        <w:t xml:space="preserve">. It shows a very nice linear relationship which really surprised me! I expected an ascending curve between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w:r>
        <w:rPr>
          <w:rFonts w:eastAsiaTheme="minorEastAsia"/>
        </w:rPr>
        <w:t xml:space="preserve"> and </w:t>
      </w:r>
      <m:oMath>
        <m:r>
          <w:rPr>
            <w:rFonts w:ascii="Cambria Math" w:eastAsiaTheme="minorEastAsia" w:hAnsi="Cambria Math"/>
          </w:rPr>
          <m:t>ρ</m:t>
        </m:r>
      </m:oMath>
      <w:r>
        <w:rPr>
          <w:rFonts w:eastAsiaTheme="minorEastAsia"/>
        </w:rPr>
        <w:t xml:space="preserve"> like a curve of </w:t>
      </w:r>
      <m:oMath>
        <m:r>
          <w:rPr>
            <w:rFonts w:ascii="Cambria Math" w:eastAsiaTheme="minorEastAsia" w:hAnsi="Cambria Math"/>
          </w:rPr>
          <m:t>1/x</m:t>
        </m:r>
      </m:oMath>
      <w:r>
        <w:rPr>
          <w:rFonts w:eastAsiaTheme="minorEastAsia"/>
        </w:rPr>
        <w:t xml:space="preserve">. But we see a totally line! Now it’s easy to figure out a function to model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w:r>
        <w:rPr>
          <w:rFonts w:eastAsiaTheme="minorEastAsia"/>
        </w:rPr>
        <w:t xml:space="preserve">. </w:t>
      </w:r>
    </w:p>
    <w:p w:rsidR="00206DC7" w:rsidRPr="00206DC7" w:rsidRDefault="00206DC7">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α⋅ρ+β</m:t>
              </m:r>
            </m:den>
          </m:f>
        </m:oMath>
      </m:oMathPara>
    </w:p>
    <w:p w:rsidR="00206DC7" w:rsidRDefault="00206DC7">
      <w:pPr>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are two constant parameters. After we fit a line to the points in the left panel of the above figure, we get </w:t>
      </w:r>
      <m:oMath>
        <m:r>
          <w:rPr>
            <w:rFonts w:ascii="Cambria Math" w:eastAsiaTheme="minorEastAsia" w:hAnsi="Cambria Math"/>
          </w:rPr>
          <m:t>α=0.0012</m:t>
        </m:r>
      </m:oMath>
      <w:r>
        <w:rPr>
          <w:rFonts w:eastAsiaTheme="minorEastAsia"/>
        </w:rPr>
        <w:t xml:space="preserve"> and </w:t>
      </w:r>
      <m:oMath>
        <m:r>
          <w:rPr>
            <w:rFonts w:ascii="Cambria Math" w:eastAsiaTheme="minorEastAsia" w:hAnsi="Cambria Math"/>
          </w:rPr>
          <m:t>β=5.428*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and 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is nicely 1. </w:t>
      </w:r>
    </w:p>
    <w:p w:rsidR="00206DC7" w:rsidRDefault="00836BCC">
      <w:pPr>
        <w:rPr>
          <w:rFonts w:eastAsiaTheme="minorEastAsia"/>
        </w:rPr>
      </w:pPr>
      <w:r>
        <w:rPr>
          <w:rFonts w:eastAsiaTheme="minorEastAsia"/>
        </w:rPr>
        <w:t xml:space="preserve">Summarize the CBL’s empirical calibration equation, </w:t>
      </w:r>
    </w:p>
    <w:p w:rsidR="00836BCC" w:rsidRPr="00836BCC" w:rsidRDefault="00836BC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r</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α⋅ρ+β</m:t>
                  </m:r>
                </m:den>
              </m:f>
            </m:e>
          </m:d>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b</m:t>
                      </m:r>
                    </m:sup>
                  </m:sSup>
                </m:den>
              </m:f>
            </m:e>
          </m:d>
          <m:r>
            <w:rPr>
              <w:rFonts w:ascii="Cambria Math" w:hAnsi="Cambria Math"/>
            </w:rPr>
            <m:t xml:space="preserve"> </m:t>
          </m:r>
        </m:oMath>
      </m:oMathPara>
    </w:p>
    <w:p w:rsidR="00AC1DD6" w:rsidRDefault="00836BCC">
      <w:pPr>
        <w:rPr>
          <w:rFonts w:eastAsiaTheme="minorEastAsia"/>
        </w:rPr>
      </w:pPr>
      <w:r>
        <w:rPr>
          <w:rFonts w:eastAsiaTheme="minorEastAsia"/>
        </w:rPr>
        <w:t xml:space="preserve">Where </w:t>
      </w:r>
      <w:r>
        <w:rPr>
          <w:rFonts w:eastAsiaTheme="minorEastAsia"/>
        </w:rPr>
        <w:t xml:space="preserve"> </w:t>
      </w:r>
      <m:oMath>
        <m:r>
          <w:rPr>
            <w:rFonts w:ascii="Cambria Math" w:eastAsiaTheme="minorEastAsia" w:hAnsi="Cambria Math"/>
          </w:rPr>
          <m:t>α=0.0012</m:t>
        </m:r>
      </m:oMath>
      <w:r>
        <w:rPr>
          <w:rFonts w:eastAsiaTheme="minorEastAsia"/>
        </w:rPr>
        <w:t xml:space="preserve">, </w:t>
      </w:r>
      <w:r>
        <w:rPr>
          <w:rFonts w:eastAsiaTheme="minorEastAsia"/>
        </w:rPr>
        <w:t xml:space="preserve"> </w:t>
      </w:r>
      <m:oMath>
        <m:r>
          <w:rPr>
            <w:rFonts w:ascii="Cambria Math" w:eastAsiaTheme="minorEastAsia" w:hAnsi="Cambria Math"/>
          </w:rPr>
          <m:t>β=5.428*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w:t>
      </w:r>
      <m:oMath>
        <m:r>
          <w:rPr>
            <w:rFonts w:ascii="Cambria Math" w:eastAsiaTheme="minorEastAsia" w:hAnsi="Cambria Math"/>
          </w:rPr>
          <m:t>b=0.2507</m:t>
        </m:r>
      </m:oMath>
      <w:r>
        <w:rPr>
          <w:rFonts w:eastAsiaTheme="minorEastAsia"/>
        </w:rPr>
        <w:t xml:space="preserve"> (mean value from </w:t>
      </w:r>
      <w:r w:rsidR="00E45A50">
        <w:rPr>
          <w:rFonts w:eastAsiaTheme="minorEastAsia"/>
        </w:rPr>
        <w:t xml:space="preserve">the range powers in </w:t>
      </w:r>
      <w:r>
        <w:rPr>
          <w:rFonts w:eastAsiaTheme="minorEastAsia"/>
        </w:rPr>
        <w:t xml:space="preserve">the above table). </w:t>
      </w:r>
      <w:r w:rsidR="000A4595">
        <w:rPr>
          <w:rFonts w:eastAsiaTheme="minorEastAsia"/>
        </w:rPr>
        <w:t xml:space="preserve">I used this function to model the return DN. Here is the plot between modeled DN and the </w:t>
      </w:r>
      <w:r w:rsidR="00AC1DD6">
        <w:rPr>
          <w:rFonts w:eastAsiaTheme="minorEastAsia"/>
        </w:rPr>
        <w:t>actual CBL</w:t>
      </w:r>
      <w:r w:rsidR="000A4595">
        <w:rPr>
          <w:rFonts w:eastAsiaTheme="minorEastAsia"/>
        </w:rPr>
        <w:t xml:space="preserve"> DN. 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C1DD6">
        <w:rPr>
          <w:rFonts w:eastAsiaTheme="minorEastAsia"/>
        </w:rPr>
        <w:t xml:space="preserve"> is 0.9996, which suggests a very good semi-empirical prediction. I think this is good to use for now. </w:t>
      </w:r>
    </w:p>
    <w:p w:rsidR="00C63E7B" w:rsidRDefault="00AC1DD6">
      <w:pPr>
        <w:rPr>
          <w:rFonts w:eastAsiaTheme="minorEastAsia"/>
        </w:rPr>
      </w:pPr>
      <w:r>
        <w:rPr>
          <w:rFonts w:eastAsiaTheme="minorEastAsia"/>
        </w:rPr>
        <w:t xml:space="preserve">But one thing to be noticed is the very low </w:t>
      </w:r>
      <m:oMath>
        <m:r>
          <w:rPr>
            <w:rFonts w:ascii="Cambria Math" w:eastAsiaTheme="minorEastAsia" w:hAnsi="Cambria Math"/>
          </w:rPr>
          <m:t>b</m:t>
        </m:r>
      </m:oMath>
      <w:r>
        <w:rPr>
          <w:rFonts w:eastAsiaTheme="minorEastAsia"/>
        </w:rPr>
        <w:t xml:space="preserve"> which suggests that CBL’s telescope efficiency takes a very long range to plateau to 1. I tried using range power of 2 and the same empirical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exp</m:t>
            </m:r>
          </m:fName>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r>
              <w:rPr>
                <w:rFonts w:ascii="Cambria Math" w:eastAsiaTheme="minorEastAsia" w:hAnsi="Cambria Math"/>
              </w:rPr>
              <m:t>)</m:t>
            </m:r>
          </m:e>
        </m:func>
      </m:oMath>
      <w:r>
        <w:rPr>
          <w:rFonts w:eastAsiaTheme="minorEastAsia"/>
        </w:rPr>
        <w:t xml:space="preserve"> as EVI used to hack more on the CBL’s telescope efficiency. However the fitting result doesn’t look robust. I see </w:t>
      </w:r>
      <m:oMath>
        <m:r>
          <w:rPr>
            <w:rFonts w:ascii="Cambria Math" w:eastAsiaTheme="minorEastAsia" w:hAnsi="Cambria Math"/>
          </w:rPr>
          <m:t>K(r)</m:t>
        </m:r>
      </m:oMath>
      <w:r>
        <w:rPr>
          <w:rFonts w:eastAsiaTheme="minorEastAsia"/>
        </w:rPr>
        <w:t xml:space="preserve"> is still 0.4 at 100 meters. The </w:t>
      </w:r>
      <m:oMath>
        <m:r>
          <w:rPr>
            <w:rFonts w:ascii="Cambria Math" w:eastAsiaTheme="minorEastAsia" w:hAnsi="Cambria Math"/>
          </w:rPr>
          <m:t>K(r)</m:t>
        </m:r>
      </m:oMath>
      <w:r>
        <w:rPr>
          <w:rFonts w:eastAsiaTheme="minorEastAsia"/>
        </w:rPr>
        <w:t xml:space="preserve"> could plateau to 1 around 200 m. Maybe the function form is wrong for CBL’s </w:t>
      </w:r>
      <m:oMath>
        <m:r>
          <w:rPr>
            <w:rFonts w:ascii="Cambria Math" w:eastAsiaTheme="minorEastAsia" w:hAnsi="Cambria Math"/>
          </w:rPr>
          <m:t>K(r)</m:t>
        </m:r>
      </m:oMath>
      <w:r>
        <w:rPr>
          <w:rFonts w:eastAsiaTheme="minorEastAsia"/>
        </w:rPr>
        <w:t xml:space="preserve">. But what does it look like? Hard to guess. I suspect it  could contain some geometrical form factor because the laser and receiving path is not co-axial as EVI or DWEL. One paper in Alan’s lidar seminar talked about this kind of optical configuration for an atmosphere lidar. </w:t>
      </w:r>
      <w:r w:rsidR="00C63E7B">
        <w:rPr>
          <w:rFonts w:eastAsiaTheme="minorEastAsia"/>
        </w:rPr>
        <w:t>But that’s for now.</w:t>
      </w:r>
    </w:p>
    <w:p w:rsidR="00C0411E" w:rsidRDefault="000A4595">
      <w:r>
        <w:rPr>
          <w:noProof/>
        </w:rPr>
        <w:drawing>
          <wp:inline distT="0" distB="0" distL="0" distR="0">
            <wp:extent cx="5943600" cy="4860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vs-model.tif"/>
                    <pic:cNvPicPr/>
                  </pic:nvPicPr>
                  <pic:blipFill>
                    <a:blip r:embed="rId8">
                      <a:extLst>
                        <a:ext uri="{28A0092B-C50C-407E-A947-70E740481C1C}">
                          <a14:useLocalDpi xmlns:a14="http://schemas.microsoft.com/office/drawing/2010/main" val="0"/>
                        </a:ext>
                      </a:extLst>
                    </a:blip>
                    <a:stretch>
                      <a:fillRect/>
                    </a:stretch>
                  </pic:blipFill>
                  <pic:spPr>
                    <a:xfrm>
                      <a:off x="0" y="0"/>
                      <a:ext cx="5943600" cy="4860290"/>
                    </a:xfrm>
                    <a:prstGeom prst="rect">
                      <a:avLst/>
                    </a:prstGeom>
                  </pic:spPr>
                </pic:pic>
              </a:graphicData>
            </a:graphic>
          </wp:inline>
        </w:drawing>
      </w:r>
    </w:p>
    <w:sectPr w:rsidR="00C04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EF9"/>
    <w:rsid w:val="000A4595"/>
    <w:rsid w:val="00171BAE"/>
    <w:rsid w:val="00206DC7"/>
    <w:rsid w:val="002C30F1"/>
    <w:rsid w:val="002F434A"/>
    <w:rsid w:val="002F6F25"/>
    <w:rsid w:val="00303531"/>
    <w:rsid w:val="00343271"/>
    <w:rsid w:val="004712F4"/>
    <w:rsid w:val="00635EF9"/>
    <w:rsid w:val="007C3928"/>
    <w:rsid w:val="00836BCC"/>
    <w:rsid w:val="008F6D24"/>
    <w:rsid w:val="009B4A0E"/>
    <w:rsid w:val="00AC1DD6"/>
    <w:rsid w:val="00AD7B9A"/>
    <w:rsid w:val="00B87170"/>
    <w:rsid w:val="00BD6ADF"/>
    <w:rsid w:val="00C0411E"/>
    <w:rsid w:val="00C63E7B"/>
    <w:rsid w:val="00CD20C6"/>
    <w:rsid w:val="00E45A50"/>
    <w:rsid w:val="00E6289C"/>
    <w:rsid w:val="00ED55CA"/>
    <w:rsid w:val="00F252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EF9"/>
    <w:rPr>
      <w:rFonts w:ascii="Tahoma" w:hAnsi="Tahoma" w:cs="Tahoma"/>
      <w:sz w:val="16"/>
      <w:szCs w:val="16"/>
    </w:rPr>
  </w:style>
  <w:style w:type="character" w:styleId="PlaceholderText">
    <w:name w:val="Placeholder Text"/>
    <w:basedOn w:val="DefaultParagraphFont"/>
    <w:uiPriority w:val="99"/>
    <w:semiHidden/>
    <w:rsid w:val="00635EF9"/>
    <w:rPr>
      <w:color w:val="808080"/>
    </w:rPr>
  </w:style>
  <w:style w:type="table" w:styleId="TableGrid">
    <w:name w:val="Table Grid"/>
    <w:basedOn w:val="TableNormal"/>
    <w:uiPriority w:val="59"/>
    <w:rsid w:val="00B871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EF9"/>
    <w:rPr>
      <w:rFonts w:ascii="Tahoma" w:hAnsi="Tahoma" w:cs="Tahoma"/>
      <w:sz w:val="16"/>
      <w:szCs w:val="16"/>
    </w:rPr>
  </w:style>
  <w:style w:type="character" w:styleId="PlaceholderText">
    <w:name w:val="Placeholder Text"/>
    <w:basedOn w:val="DefaultParagraphFont"/>
    <w:uiPriority w:val="99"/>
    <w:semiHidden/>
    <w:rsid w:val="00635EF9"/>
    <w:rPr>
      <w:color w:val="808080"/>
    </w:rPr>
  </w:style>
  <w:style w:type="table" w:styleId="TableGrid">
    <w:name w:val="Table Grid"/>
    <w:basedOn w:val="TableNormal"/>
    <w:uiPriority w:val="59"/>
    <w:rsid w:val="00B871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Relationship Id="rId3" Type="http://schemas.openxmlformats.org/officeDocument/2006/relationships/settings" Target="settings.xml"/><Relationship Id="rId7" Type="http://schemas.openxmlformats.org/officeDocument/2006/relationships/image" Target="media/image3.t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if"/><Relationship Id="rId5" Type="http://schemas.openxmlformats.org/officeDocument/2006/relationships/image" Target="media/image1.t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 Li</dc:creator>
  <cp:keywords/>
  <dc:description/>
  <cp:lastModifiedBy>Zhan Li</cp:lastModifiedBy>
  <cp:revision>22</cp:revision>
  <dcterms:created xsi:type="dcterms:W3CDTF">2014-09-18T04:16:00Z</dcterms:created>
  <dcterms:modified xsi:type="dcterms:W3CDTF">2014-09-18T05:32:00Z</dcterms:modified>
</cp:coreProperties>
</file>