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2725" w:hRule="atLeast"/>
          <w:tblHeader w:val="0"/>
        </w:trPr>
        <w:tc>
          <w:tcPr>
            <w:shd w:fill="291f16" w:val="clear"/>
            <w:tcMar>
              <w:top w:w="380.0" w:type="dxa"/>
              <w:left w:w="340.0" w:type="dxa"/>
              <w:bottom w:w="380.0" w:type="dxa"/>
              <w:right w:w="340.0" w:type="dxa"/>
            </w:tcMar>
          </w:tcPr>
          <w:p w:rsidR="00000000" w:rsidDel="00000000" w:rsidP="00000000" w:rsidRDefault="00000000" w:rsidRPr="00000000" w14:paraId="00000002">
            <w:pPr>
              <w:spacing w:after="40" w:before="160" w:lineRule="auto"/>
              <w:rPr>
                <w:rFonts w:ascii="Century Gothic" w:cs="Century Gothic" w:eastAsia="Century Gothic" w:hAnsi="Century Gothic"/>
                <w:b w:val="1"/>
                <w:bCs w:val="1"/>
                <w:smallCaps w:val="1"/>
                <w:color w:val="fe4939"/>
                <w:sz w:val="24"/>
                <w:szCs w:val="24"/>
              </w:rPr>
            </w:pPr>
            <w:r w:rsidDel="00000000" w:rsidR="00000000" w:rsidRPr="00000000">
              <w:rPr/>
              <w:drawing>
                <wp:inline distB="0" distT="0" distL="0" distR="0">
                  <wp:extent cx="1657350" cy="295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5735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40" w:before="160" w:lineRule="auto"/>
              <w:rPr>
                <w:rFonts w:ascii="Poppins" w:cs="Poppins" w:eastAsia="Poppins" w:hAnsi="Poppins"/>
                <w:sz w:val="15"/>
                <w:szCs w:val="15"/>
              </w:rPr>
            </w:pPr>
            <w:r w:rsidDel="00000000" w:rsidR="00000000" w:rsidRPr="00000000">
              <w:rPr>
                <w:rFonts w:ascii="Poppins" w:cs="Poppins" w:eastAsia="Poppins" w:hAnsi="Poppins"/>
                <w:b w:val="1"/>
                <w:bCs w:val="1"/>
                <w:smallCaps w:val="1"/>
                <w:color w:val="fe4939"/>
                <w:sz w:val="15"/>
                <w:szCs w:val="15"/>
                <w:rtl w:val="0"/>
              </w:rPr>
              <w:t xml:space="preserve">A N N E X U R E  D</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Poppins" w:cs="Poppins" w:eastAsia="Poppins" w:hAnsi="Poppins"/>
                <w:b w:val="1"/>
                <w:bCs w:val="1"/>
                <w:color w:val="ffffff"/>
                <w:sz w:val="38"/>
                <w:szCs w:val="38"/>
                <w:rtl w:val="0"/>
              </w:rPr>
              <w:t xml:space="preserve">Data Processing and Privacy</w:t>
            </w:r>
            <w:r w:rsidDel="00000000" w:rsidR="00000000" w:rsidRPr="00000000">
              <w:rPr>
                <w:b w:val="1"/>
                <w:bCs w:val="1"/>
                <w:color w:val="fe4939"/>
                <w:sz w:val="38"/>
                <w:szCs w:val="38"/>
                <w:rtl w:val="0"/>
              </w:rPr>
              <w:t xml:space="preserve">.</w:t>
            </w:r>
            <w:r w:rsidDel="00000000" w:rsidR="00000000" w:rsidRPr="00000000">
              <w:rPr>
                <w:rtl w:val="0"/>
              </w:rPr>
            </w:r>
          </w:p>
          <w:p w:rsidR="00000000" w:rsidDel="00000000" w:rsidP="00000000" w:rsidRDefault="00000000" w:rsidRPr="00000000" w14:paraId="00000005">
            <w:pPr>
              <w:pBdr>
                <w:bottom w:color="fe4939" w:space="6" w:sz="18" w:val="single"/>
              </w:pBdr>
              <w:spacing w:after="140" w:before="20" w:lineRule="auto"/>
              <w:rPr/>
            </w:pPr>
            <w:r w:rsidDel="00000000" w:rsidR="00000000" w:rsidRPr="00000000">
              <w:rPr>
                <w:rtl w:val="0"/>
              </w:rPr>
            </w:r>
          </w:p>
          <w:p w:rsidR="00000000" w:rsidDel="00000000" w:rsidP="00000000" w:rsidRDefault="00000000" w:rsidRPr="00000000" w14:paraId="00000006">
            <w:pPr>
              <w:rPr/>
            </w:pPr>
            <w:r w:rsidDel="00000000" w:rsidR="00000000" w:rsidRPr="00000000">
              <w:rPr>
                <w:i w:val="1"/>
                <w:iCs w:val="1"/>
                <w:color w:val="ffffff"/>
                <w:sz w:val="19"/>
                <w:szCs w:val="19"/>
                <w:rtl w:val="0"/>
              </w:rPr>
              <w:t xml:space="preserve">Governs AI Please’s handling of Client Data and gives effect to the parties’ obligations under Privacy Law. Subject to this agreement, including the Liability clause; on a data-protection matter this Annexure prevails, except that the Liability clause prevails on liability.</w:t>
            </w:r>
            <w:r w:rsidDel="00000000" w:rsidR="00000000" w:rsidRPr="00000000">
              <w:rPr>
                <w:rtl w:val="0"/>
              </w:rPr>
            </w:r>
          </w:p>
        </w:tc>
      </w:tr>
    </w:tbl>
    <w:p w:rsidR="00000000" w:rsidDel="00000000" w:rsidP="00000000" w:rsidRDefault="00000000" w:rsidRPr="00000000" w14:paraId="00000007">
      <w:pPr>
        <w:pStyle w:val="Heading2"/>
        <w:rPr>
          <w:rFonts w:ascii="Century Gothic" w:cs="Century Gothic" w:eastAsia="Century Gothic" w:hAnsi="Century Gothic"/>
          <w:b w:val="1"/>
          <w:bCs w:val="1"/>
          <w:sz w:val="23"/>
          <w:szCs w:val="23"/>
        </w:rPr>
      </w:pPr>
      <w:r w:rsidDel="00000000" w:rsidR="00000000" w:rsidRPr="00000000">
        <w:rPr>
          <w:rFonts w:ascii="Century Gothic" w:cs="Century Gothic" w:eastAsia="Century Gothic" w:hAnsi="Century Gothic"/>
          <w:b w:val="1"/>
          <w:bCs w:val="1"/>
          <w:color w:val="fe4939"/>
          <w:sz w:val="23"/>
          <w:szCs w:val="23"/>
          <w:rtl w:val="0"/>
        </w:rPr>
        <w:t xml:space="preserve">D.1 </w:t>
      </w:r>
      <w:r w:rsidDel="00000000" w:rsidR="00000000" w:rsidRPr="00000000">
        <w:rPr>
          <w:rFonts w:ascii="Century Gothic" w:cs="Century Gothic" w:eastAsia="Century Gothic" w:hAnsi="Century Gothic"/>
          <w:b w:val="1"/>
          <w:bCs w:val="1"/>
          <w:color w:val="000000"/>
          <w:sz w:val="23"/>
          <w:szCs w:val="23"/>
          <w:rtl w:val="0"/>
        </w:rPr>
        <w:t xml:space="preserve">Scope and roles</w:t>
      </w:r>
      <w:r w:rsidDel="00000000" w:rsidR="00000000" w:rsidRPr="00000000">
        <w:rPr>
          <w:rtl w:val="0"/>
        </w:rPr>
      </w:r>
    </w:p>
    <w:p w:rsidR="00000000" w:rsidDel="00000000" w:rsidP="00000000" w:rsidRDefault="00000000" w:rsidRPr="00000000" w14:paraId="00000008">
      <w:pPr>
        <w:spacing w:after="100" w:before="20" w:lineRule="auto"/>
        <w:ind w:left="720" w:firstLine="0"/>
        <w:rPr/>
      </w:pPr>
      <w:r w:rsidDel="00000000" w:rsidR="00000000" w:rsidRPr="00000000">
        <w:rPr>
          <w:rtl w:val="0"/>
        </w:rPr>
        <w:t xml:space="preserve">As between the parties, the Client is the accountable entity that determines the purposes and means of handling Client Data and is responsible for it under Privacy Law. AI Please acts as a service provider handling Client Data on the Client’s documented instructions and only for the permitted purposes. AI Please will notify the Client if, in its reasonable opinion, an instruction would require it to breach Privacy Law, and is not obliged to comply to the extent it would cause that breach.</w:t>
      </w:r>
    </w:p>
    <w:p w:rsidR="00000000" w:rsidDel="00000000" w:rsidP="00000000" w:rsidRDefault="00000000" w:rsidRPr="00000000" w14:paraId="00000009">
      <w:pPr>
        <w:pStyle w:val="Heading2"/>
        <w:rPr>
          <w:rFonts w:ascii="Century Gothic" w:cs="Century Gothic" w:eastAsia="Century Gothic" w:hAnsi="Century Gothic"/>
          <w:b w:val="1"/>
          <w:bCs w:val="1"/>
          <w:sz w:val="23"/>
          <w:szCs w:val="23"/>
        </w:rPr>
      </w:pPr>
      <w:r w:rsidDel="00000000" w:rsidR="00000000" w:rsidRPr="00000000">
        <w:rPr>
          <w:rFonts w:ascii="Century Gothic" w:cs="Century Gothic" w:eastAsia="Century Gothic" w:hAnsi="Century Gothic"/>
          <w:b w:val="1"/>
          <w:bCs w:val="1"/>
          <w:color w:val="fe4939"/>
          <w:sz w:val="23"/>
          <w:szCs w:val="23"/>
          <w:rtl w:val="0"/>
        </w:rPr>
        <w:t xml:space="preserve">D.2 </w:t>
      </w:r>
      <w:r w:rsidDel="00000000" w:rsidR="00000000" w:rsidRPr="00000000">
        <w:rPr>
          <w:rFonts w:ascii="Century Gothic" w:cs="Century Gothic" w:eastAsia="Century Gothic" w:hAnsi="Century Gothic"/>
          <w:b w:val="1"/>
          <w:bCs w:val="1"/>
          <w:color w:val="000000"/>
          <w:sz w:val="23"/>
          <w:szCs w:val="23"/>
          <w:rtl w:val="0"/>
        </w:rPr>
        <w:t xml:space="preserve">Data-handling models</w:t>
      </w:r>
      <w:r w:rsidDel="00000000" w:rsidR="00000000" w:rsidRPr="00000000">
        <w:rPr>
          <w:rtl w:val="0"/>
        </w:rPr>
      </w:r>
    </w:p>
    <w:p w:rsidR="00000000" w:rsidDel="00000000" w:rsidP="00000000" w:rsidRDefault="00000000" w:rsidRPr="00000000" w14:paraId="0000000A">
      <w:pPr>
        <w:spacing w:after="100" w:before="20" w:lineRule="auto"/>
        <w:ind w:left="720" w:firstLine="0"/>
        <w:rPr/>
      </w:pPr>
      <w:r w:rsidDel="00000000" w:rsidR="00000000" w:rsidRPr="00000000">
        <w:rPr>
          <w:rtl w:val="0"/>
        </w:rPr>
        <w:t xml:space="preserve">Each engagement is delivered under one of the models below, selected at intake and recorded in the Engagement Data Schedule (clause D.11). The parties prefer Model A, then Model B; Model C applies only as a signed exception.</w:t>
      </w:r>
    </w:p>
    <w:p w:rsidR="00000000" w:rsidDel="00000000" w:rsidP="00000000" w:rsidRDefault="00000000" w:rsidRPr="00000000" w14:paraId="0000000B">
      <w:pPr>
        <w:tabs>
          <w:tab w:val="left" w:leader="none" w:pos="1440"/>
        </w:tabs>
        <w:spacing w:after="90" w:before="20" w:lineRule="auto"/>
        <w:ind w:left="1440" w:hanging="720"/>
        <w:rPr/>
      </w:pPr>
      <w:r w:rsidDel="00000000" w:rsidR="00000000" w:rsidRPr="00000000">
        <w:rPr>
          <w:rtl w:val="0"/>
        </w:rPr>
        <w:t xml:space="preserve">(a)</w:t>
        <w:tab/>
      </w:r>
      <w:r w:rsidDel="00000000" w:rsidR="00000000" w:rsidRPr="00000000">
        <w:rPr>
          <w:b w:val="1"/>
          <w:bCs w:val="1"/>
          <w:rtl w:val="0"/>
        </w:rPr>
        <w:t xml:space="preserve">Model A: De-identified only.</w:t>
      </w:r>
      <w:r w:rsidDel="00000000" w:rsidR="00000000" w:rsidRPr="00000000">
        <w:rPr>
          <w:rtl w:val="0"/>
        </w:rPr>
        <w:t xml:space="preserve"> The Client de-identifies the Client Data before disclosure so that no identifiable Personal Information or Health Information egresses to AI Please. The Client warrants the data is de-identified for the environment in which AI Please will hold it; AI Please will not attempt to re-identify it.</w:t>
      </w:r>
    </w:p>
    <w:p w:rsidR="00000000" w:rsidDel="00000000" w:rsidP="00000000" w:rsidRDefault="00000000" w:rsidRPr="00000000" w14:paraId="0000000C">
      <w:pPr>
        <w:tabs>
          <w:tab w:val="left" w:leader="none" w:pos="1440"/>
        </w:tabs>
        <w:spacing w:after="90" w:before="20" w:lineRule="auto"/>
        <w:ind w:left="1440" w:hanging="720"/>
        <w:rPr/>
      </w:pPr>
      <w:r w:rsidDel="00000000" w:rsidR="00000000" w:rsidRPr="00000000">
        <w:rPr>
          <w:rtl w:val="0"/>
        </w:rPr>
        <w:t xml:space="preserve">(b)</w:t>
        <w:tab/>
      </w:r>
      <w:r w:rsidDel="00000000" w:rsidR="00000000" w:rsidRPr="00000000">
        <w:rPr>
          <w:b w:val="1"/>
          <w:bCs w:val="1"/>
          <w:rtl w:val="0"/>
        </w:rPr>
        <w:t xml:space="preserve">Model B: In the Client’s environment.</w:t>
      </w:r>
      <w:r w:rsidDel="00000000" w:rsidR="00000000" w:rsidRPr="00000000">
        <w:rPr>
          <w:rtl w:val="0"/>
        </w:rPr>
        <w:t xml:space="preserve"> Identifiable Client Data remains within the Client’s systems. AI Please works using Client-provisioned, named accounts with multi-factor authentication and does not download or export identifiable Client Data to AI Please’s systems. The Client’s controls may substitute for AI Please’s where they meet or exceed the standard in clause D.4.</w:t>
      </w:r>
    </w:p>
    <w:p w:rsidR="00000000" w:rsidDel="00000000" w:rsidP="00000000" w:rsidRDefault="00000000" w:rsidRPr="00000000" w14:paraId="0000000D">
      <w:pPr>
        <w:tabs>
          <w:tab w:val="left" w:leader="none" w:pos="1440"/>
        </w:tabs>
        <w:spacing w:after="90" w:before="20" w:lineRule="auto"/>
        <w:ind w:left="1440" w:hanging="720"/>
        <w:rPr/>
      </w:pPr>
      <w:r w:rsidDel="00000000" w:rsidR="00000000" w:rsidRPr="00000000">
        <w:rPr>
          <w:rtl w:val="0"/>
        </w:rPr>
        <w:t xml:space="preserve">(c)</w:t>
        <w:tab/>
      </w:r>
      <w:r w:rsidDel="00000000" w:rsidR="00000000" w:rsidRPr="00000000">
        <w:rPr>
          <w:b w:val="1"/>
          <w:bCs w:val="1"/>
          <w:rtl w:val="0"/>
        </w:rPr>
        <w:t xml:space="preserve">Model C: Custody (signed exception).</w:t>
      </w:r>
      <w:r w:rsidDel="00000000" w:rsidR="00000000" w:rsidRPr="00000000">
        <w:rPr>
          <w:rtl w:val="0"/>
        </w:rPr>
        <w:t xml:space="preserve"> Model C applies only where Models A and B have each been assessed and ruled out, the Client has requested in writing that AI Please hold the identifiable Client Data, and a director of AI Please has approved custody at intake. It does not take effect until the parties sign the Model C custody authorisation in the Engagement Data Schedule. Where Model C applies, the following are mandatory and evidenced: the full set of security controls in clause D.4; a documented retention period and secure-deletion date; confirmation that AI Please’s professional indemnity and cyber insurance cover the exposure; a completed privacy impact assessment where AI touches Personal Information; and any additional controls in the Schedule. If any condition is not met, AI Please will not take custody.</w:t>
      </w:r>
    </w:p>
    <w:p w:rsidR="00000000" w:rsidDel="00000000" w:rsidP="00000000" w:rsidRDefault="00000000" w:rsidRPr="00000000" w14:paraId="0000000E">
      <w:pPr>
        <w:pStyle w:val="Heading2"/>
        <w:rPr>
          <w:rFonts w:ascii="Century Gothic" w:cs="Century Gothic" w:eastAsia="Century Gothic" w:hAnsi="Century Gothic"/>
          <w:b w:val="1"/>
          <w:bCs w:val="1"/>
          <w:sz w:val="23"/>
          <w:szCs w:val="23"/>
        </w:rPr>
      </w:pPr>
      <w:r w:rsidDel="00000000" w:rsidR="00000000" w:rsidRPr="00000000">
        <w:rPr>
          <w:rFonts w:ascii="Century Gothic" w:cs="Century Gothic" w:eastAsia="Century Gothic" w:hAnsi="Century Gothic"/>
          <w:b w:val="1"/>
          <w:bCs w:val="1"/>
          <w:color w:val="fe4939"/>
          <w:sz w:val="23"/>
          <w:szCs w:val="23"/>
          <w:rtl w:val="0"/>
        </w:rPr>
        <w:t xml:space="preserve">D.3 </w:t>
      </w:r>
      <w:r w:rsidDel="00000000" w:rsidR="00000000" w:rsidRPr="00000000">
        <w:rPr>
          <w:rFonts w:ascii="Century Gothic" w:cs="Century Gothic" w:eastAsia="Century Gothic" w:hAnsi="Century Gothic"/>
          <w:b w:val="1"/>
          <w:bCs w:val="1"/>
          <w:color w:val="000000"/>
          <w:sz w:val="23"/>
          <w:szCs w:val="23"/>
          <w:rtl w:val="0"/>
        </w:rPr>
        <w:t xml:space="preserve">Permitted purposes</w:t>
      </w:r>
      <w:r w:rsidDel="00000000" w:rsidR="00000000" w:rsidRPr="00000000">
        <w:rPr>
          <w:rtl w:val="0"/>
        </w:rPr>
      </w:r>
    </w:p>
    <w:p w:rsidR="00000000" w:rsidDel="00000000" w:rsidP="00000000" w:rsidRDefault="00000000" w:rsidRPr="00000000" w14:paraId="0000000F">
      <w:pPr>
        <w:spacing w:after="100" w:before="20" w:lineRule="auto"/>
        <w:ind w:left="720" w:firstLine="0"/>
        <w:rPr/>
      </w:pPr>
      <w:r w:rsidDel="00000000" w:rsidR="00000000" w:rsidRPr="00000000">
        <w:rPr>
          <w:rtl w:val="0"/>
        </w:rPr>
        <w:t xml:space="preserve">AI Please will handle Client Data only to provide the Services and to meet its legal obligations, on a data-minimisation basis. AI Please will not use Client Data, and will not permit any sub-processor or AI or cloud service to use Client Data, to train, fine-tune or improve any model, or for any purpose beyond the engagement, except with the Client’s prior written authorisation and a lawful basis established by the Client.</w:t>
      </w:r>
    </w:p>
    <w:p w:rsidR="00000000" w:rsidDel="00000000" w:rsidP="00000000" w:rsidRDefault="00000000" w:rsidRPr="00000000" w14:paraId="00000010">
      <w:pPr>
        <w:pStyle w:val="Heading2"/>
        <w:rPr>
          <w:rFonts w:ascii="Century Gothic" w:cs="Century Gothic" w:eastAsia="Century Gothic" w:hAnsi="Century Gothic"/>
          <w:b w:val="1"/>
          <w:bCs w:val="1"/>
          <w:sz w:val="23"/>
          <w:szCs w:val="23"/>
        </w:rPr>
      </w:pPr>
      <w:r w:rsidDel="00000000" w:rsidR="00000000" w:rsidRPr="00000000">
        <w:rPr>
          <w:rFonts w:ascii="Century Gothic" w:cs="Century Gothic" w:eastAsia="Century Gothic" w:hAnsi="Century Gothic"/>
          <w:b w:val="1"/>
          <w:bCs w:val="1"/>
          <w:color w:val="fe4939"/>
          <w:sz w:val="23"/>
          <w:szCs w:val="23"/>
          <w:rtl w:val="0"/>
        </w:rPr>
        <w:t xml:space="preserve">D.4 </w:t>
      </w:r>
      <w:r w:rsidDel="00000000" w:rsidR="00000000" w:rsidRPr="00000000">
        <w:rPr>
          <w:rFonts w:ascii="Century Gothic" w:cs="Century Gothic" w:eastAsia="Century Gothic" w:hAnsi="Century Gothic"/>
          <w:b w:val="1"/>
          <w:bCs w:val="1"/>
          <w:color w:val="000000"/>
          <w:sz w:val="23"/>
          <w:szCs w:val="23"/>
          <w:rtl w:val="0"/>
        </w:rPr>
        <w:t xml:space="preserve">Security controls</w:t>
      </w:r>
      <w:r w:rsidDel="00000000" w:rsidR="00000000" w:rsidRPr="00000000">
        <w:rPr>
          <w:rtl w:val="0"/>
        </w:rPr>
      </w:r>
    </w:p>
    <w:p w:rsidR="00000000" w:rsidDel="00000000" w:rsidP="00000000" w:rsidRDefault="00000000" w:rsidRPr="00000000" w14:paraId="00000011">
      <w:pPr>
        <w:spacing w:after="100" w:before="20" w:lineRule="auto"/>
        <w:ind w:left="720" w:firstLine="0"/>
        <w:rPr/>
      </w:pPr>
      <w:r w:rsidDel="00000000" w:rsidR="00000000" w:rsidRPr="00000000">
        <w:rPr>
          <w:rtl w:val="0"/>
        </w:rPr>
        <w:t xml:space="preserve">AI Please will implement and maintain technical and organisational security appropriate to the sensitivity of the Client Data (for Health Information, the highest control tier), including: least-privilege, need-to-know access by named individuals with multi-factor authentication and no shared accounts; encryption of Client Data in transit and at rest; a preference for Australian-hosted services and Australian data residency for Health Information; hardened, patched, disk-encrypted, access-controlled workstations with no identifiable Client Data on unmanaged devices; no Health Information by email or consumer file-sharing (approved secure channels only); logging of access to identifiable Client Data; binding confidentiality, privacy and security obligations on personnel; and use only of approved, appropriately contracted AI and cloud services that contract not to train on inputs, with no Client Personal Information or Health Information entered into any Public AI Tool. Under Model B the Client’s controls may substitute where they meet or exceed this standard; under Model C these controls are mandatory and evidenced on reasonable request.</w:t>
      </w:r>
    </w:p>
    <w:p w:rsidR="00000000" w:rsidDel="00000000" w:rsidP="00000000" w:rsidRDefault="00000000" w:rsidRPr="00000000" w14:paraId="00000012">
      <w:pPr>
        <w:pStyle w:val="Heading2"/>
        <w:rPr>
          <w:rFonts w:ascii="Century Gothic" w:cs="Century Gothic" w:eastAsia="Century Gothic" w:hAnsi="Century Gothic"/>
          <w:b w:val="1"/>
          <w:bCs w:val="1"/>
          <w:sz w:val="23"/>
          <w:szCs w:val="23"/>
        </w:rPr>
      </w:pPr>
      <w:r w:rsidDel="00000000" w:rsidR="00000000" w:rsidRPr="00000000">
        <w:rPr>
          <w:rFonts w:ascii="Century Gothic" w:cs="Century Gothic" w:eastAsia="Century Gothic" w:hAnsi="Century Gothic"/>
          <w:b w:val="1"/>
          <w:bCs w:val="1"/>
          <w:color w:val="fe4939"/>
          <w:sz w:val="23"/>
          <w:szCs w:val="23"/>
          <w:rtl w:val="0"/>
        </w:rPr>
        <w:t xml:space="preserve">D.5 </w:t>
      </w:r>
      <w:r w:rsidDel="00000000" w:rsidR="00000000" w:rsidRPr="00000000">
        <w:rPr>
          <w:rFonts w:ascii="Century Gothic" w:cs="Century Gothic" w:eastAsia="Century Gothic" w:hAnsi="Century Gothic"/>
          <w:b w:val="1"/>
          <w:bCs w:val="1"/>
          <w:color w:val="000000"/>
          <w:sz w:val="23"/>
          <w:szCs w:val="23"/>
          <w:rtl w:val="0"/>
        </w:rPr>
        <w:t xml:space="preserve">Sub-processors</w:t>
      </w:r>
      <w:r w:rsidDel="00000000" w:rsidR="00000000" w:rsidRPr="00000000">
        <w:rPr>
          <w:rtl w:val="0"/>
        </w:rPr>
      </w:r>
    </w:p>
    <w:p w:rsidR="00000000" w:rsidDel="00000000" w:rsidP="00000000" w:rsidRDefault="00000000" w:rsidRPr="00000000" w14:paraId="00000013">
      <w:pPr>
        <w:spacing w:after="100" w:before="20" w:lineRule="auto"/>
        <w:ind w:left="720" w:firstLine="0"/>
        <w:rPr/>
      </w:pPr>
      <w:r w:rsidDel="00000000" w:rsidR="00000000" w:rsidRPr="00000000">
        <w:rPr>
          <w:rtl w:val="0"/>
        </w:rPr>
        <w:t xml:space="preserve">AI Please may engage sub-processors (including AI and cloud providers) provided each is disclosed in the sub-processor register in the Engagement Data Schedule and is bound by obligations, in substance, no less protective than this Annexure. AI Please will conduct reasonable due diligence, maintain the register, give reasonable prior notice of a change to a sub-processor handling identifiable Client Data, and consider any reasonable, substantiated objection in good faith. AI Please remains responsible for its sub-processors’ acts and omissions in respect of Client Data, subject to the Liability clause.</w:t>
      </w:r>
    </w:p>
    <w:p w:rsidR="00000000" w:rsidDel="00000000" w:rsidP="00000000" w:rsidRDefault="00000000" w:rsidRPr="00000000" w14:paraId="00000014">
      <w:pPr>
        <w:pStyle w:val="Heading2"/>
        <w:rPr>
          <w:rFonts w:ascii="Century Gothic" w:cs="Century Gothic" w:eastAsia="Century Gothic" w:hAnsi="Century Gothic"/>
          <w:b w:val="1"/>
          <w:bCs w:val="1"/>
          <w:color w:val="000000"/>
          <w:sz w:val="23"/>
          <w:szCs w:val="23"/>
        </w:rPr>
      </w:pPr>
      <w:r w:rsidDel="00000000" w:rsidR="00000000" w:rsidRPr="00000000">
        <w:rPr>
          <w:rFonts w:ascii="Century Gothic" w:cs="Century Gothic" w:eastAsia="Century Gothic" w:hAnsi="Century Gothic"/>
          <w:b w:val="1"/>
          <w:bCs w:val="1"/>
          <w:color w:val="fe4939"/>
          <w:sz w:val="23"/>
          <w:szCs w:val="23"/>
          <w:rtl w:val="0"/>
        </w:rPr>
        <w:t xml:space="preserve">D.6</w:t>
      </w:r>
      <w:r w:rsidDel="00000000" w:rsidR="00000000" w:rsidRPr="00000000">
        <w:rPr>
          <w:rFonts w:ascii="Century Gothic" w:cs="Century Gothic" w:eastAsia="Century Gothic" w:hAnsi="Century Gothic"/>
          <w:b w:val="1"/>
          <w:bCs w:val="1"/>
          <w:color w:val="000000"/>
          <w:sz w:val="23"/>
          <w:szCs w:val="23"/>
          <w:rtl w:val="0"/>
        </w:rPr>
        <w:t xml:space="preserve"> Cross-border handling (APP 8)</w:t>
      </w:r>
    </w:p>
    <w:p w:rsidR="00000000" w:rsidDel="00000000" w:rsidP="00000000" w:rsidRDefault="00000000" w:rsidRPr="00000000" w14:paraId="00000015">
      <w:pPr>
        <w:spacing w:after="100" w:before="20" w:lineRule="auto"/>
        <w:ind w:left="720" w:firstLine="0"/>
        <w:rPr/>
      </w:pPr>
      <w:r w:rsidDel="00000000" w:rsidR="00000000" w:rsidRPr="00000000">
        <w:rPr>
          <w:rtl w:val="0"/>
        </w:rPr>
        <w:t xml:space="preserve">AI Please prefers Australian data residency and, for Health Information, will keep it in Australia wherever reasonably practicable. AI Please will not disclose or transfer Client Data to an overseas recipient without the Client’s prior written approval. Before any such overseas disclosure, AI Please will take the steps that are reasonable in the circumstances to ensure the overseas recipient does not handle the Client Data in a way that would breach the Australian Privacy Principles, having regard to matters including whether the recipient is bound by a law or binding scheme that protects the information in a way that, overall, is at least substantially similar to the APPs and can be enforced, or whether appropriate contractual protections are instead put in place. The Client acknowledges that it authorises the disclosure it approves under this clause and remains the accountable entity for that data. Nothing in this clause affects any obligation AI Please owes in its own right under Privacy Law as the entity making a disclosure, including under section 16C of the Privacy Act.</w:t>
      </w:r>
    </w:p>
    <w:p w:rsidR="00000000" w:rsidDel="00000000" w:rsidP="00000000" w:rsidRDefault="00000000" w:rsidRPr="00000000" w14:paraId="00000016">
      <w:pPr>
        <w:pStyle w:val="Heading2"/>
        <w:rPr>
          <w:rFonts w:ascii="Century Gothic" w:cs="Century Gothic" w:eastAsia="Century Gothic" w:hAnsi="Century Gothic"/>
          <w:b w:val="1"/>
          <w:bCs w:val="1"/>
          <w:sz w:val="23"/>
          <w:szCs w:val="23"/>
        </w:rPr>
      </w:pPr>
      <w:r w:rsidDel="00000000" w:rsidR="00000000" w:rsidRPr="00000000">
        <w:rPr>
          <w:rFonts w:ascii="Century Gothic" w:cs="Century Gothic" w:eastAsia="Century Gothic" w:hAnsi="Century Gothic"/>
          <w:b w:val="1"/>
          <w:bCs w:val="1"/>
          <w:color w:val="fe4939"/>
          <w:sz w:val="23"/>
          <w:szCs w:val="23"/>
          <w:rtl w:val="0"/>
        </w:rPr>
        <w:t xml:space="preserve">D.7 </w:t>
      </w:r>
      <w:r w:rsidDel="00000000" w:rsidR="00000000" w:rsidRPr="00000000">
        <w:rPr>
          <w:rFonts w:ascii="Century Gothic" w:cs="Century Gothic" w:eastAsia="Century Gothic" w:hAnsi="Century Gothic"/>
          <w:b w:val="1"/>
          <w:bCs w:val="1"/>
          <w:color w:val="000000"/>
          <w:sz w:val="23"/>
          <w:szCs w:val="23"/>
          <w:rtl w:val="0"/>
        </w:rPr>
        <w:t xml:space="preserve">Data breach response</w:t>
      </w:r>
      <w:r w:rsidDel="00000000" w:rsidR="00000000" w:rsidRPr="00000000">
        <w:rPr>
          <w:rtl w:val="0"/>
        </w:rPr>
      </w:r>
    </w:p>
    <w:p w:rsidR="00000000" w:rsidDel="00000000" w:rsidP="00000000" w:rsidRDefault="00000000" w:rsidRPr="00000000" w14:paraId="00000017">
      <w:pPr>
        <w:spacing w:after="100" w:before="20" w:lineRule="auto"/>
        <w:ind w:left="720" w:firstLine="0"/>
        <w:rPr/>
      </w:pPr>
      <w:r w:rsidDel="00000000" w:rsidR="00000000" w:rsidRPr="00000000">
        <w:rPr>
          <w:rtl w:val="0"/>
        </w:rPr>
        <w:t xml:space="preserve">On becoming aware of an actual or suspected unauthorised access to, disclosure of, or loss of Client Data that AI Please holds or can access, AI Please will notify the Client without undue delay, take reasonable containment steps, preserve evidence, and reasonably assist the Client to assess the incident within the timeframe required by the Notifiable Data Breaches scheme (a reasonable and expeditious assessment, and in any event within 30 days of becoming aware of grounds to suspect an eligible breach, sooner where practicable). As the accountable entity, the Client is responsible for any notification to the Office of the Australian Information Commissioner and affected individuals, unless the parties expressly agree otherwise; AI Please will not make any public statement without the Client’s prior written consent, except where required by law. Nothing relieves AI Please of any notification obligation it owes in its own right. Except to the extent an incident is caused by AI Please’s breach of this Annexure, the Client bears the costs of assessing and responding to a data breach affecting Client Data.</w:t>
      </w:r>
    </w:p>
    <w:p w:rsidR="00000000" w:rsidDel="00000000" w:rsidP="00000000" w:rsidRDefault="00000000" w:rsidRPr="00000000" w14:paraId="00000018">
      <w:pPr>
        <w:pStyle w:val="Heading2"/>
        <w:rPr>
          <w:rFonts w:ascii="Century Gothic" w:cs="Century Gothic" w:eastAsia="Century Gothic" w:hAnsi="Century Gothic"/>
          <w:b w:val="1"/>
          <w:bCs w:val="1"/>
          <w:sz w:val="23"/>
          <w:szCs w:val="23"/>
        </w:rPr>
      </w:pPr>
      <w:r w:rsidDel="00000000" w:rsidR="00000000" w:rsidRPr="00000000">
        <w:rPr>
          <w:rFonts w:ascii="Century Gothic" w:cs="Century Gothic" w:eastAsia="Century Gothic" w:hAnsi="Century Gothic"/>
          <w:b w:val="1"/>
          <w:bCs w:val="1"/>
          <w:color w:val="fe4939"/>
          <w:sz w:val="23"/>
          <w:szCs w:val="23"/>
          <w:rtl w:val="0"/>
        </w:rPr>
        <w:t xml:space="preserve">D.8 </w:t>
      </w:r>
      <w:r w:rsidDel="00000000" w:rsidR="00000000" w:rsidRPr="00000000">
        <w:rPr>
          <w:rFonts w:ascii="Century Gothic" w:cs="Century Gothic" w:eastAsia="Century Gothic" w:hAnsi="Century Gothic"/>
          <w:b w:val="1"/>
          <w:bCs w:val="1"/>
          <w:color w:val="000000"/>
          <w:sz w:val="23"/>
          <w:szCs w:val="23"/>
          <w:rtl w:val="0"/>
        </w:rPr>
        <w:t xml:space="preserve">Audit and evidence</w:t>
      </w:r>
      <w:r w:rsidDel="00000000" w:rsidR="00000000" w:rsidRPr="00000000">
        <w:rPr>
          <w:rtl w:val="0"/>
        </w:rPr>
      </w:r>
    </w:p>
    <w:p w:rsidR="00000000" w:rsidDel="00000000" w:rsidP="00000000" w:rsidRDefault="00000000" w:rsidRPr="00000000" w14:paraId="00000019">
      <w:pPr>
        <w:spacing w:after="100" w:before="20" w:lineRule="auto"/>
        <w:ind w:left="720" w:firstLine="0"/>
        <w:rPr/>
      </w:pPr>
      <w:r w:rsidDel="00000000" w:rsidR="00000000" w:rsidRPr="00000000">
        <w:rPr>
          <w:rtl w:val="0"/>
        </w:rPr>
        <w:t xml:space="preserve">On the Client’s reasonable written request, no more than once in any 12-month period (unless a data breach affecting the Client Data has occurred or a regulator requires it), AI Please will provide reasonable evidence of compliance with this Annexure (which may take the form of written responses, its Healthcare Data and Engagement Framework, policies, certifications or assurance reports, and the sub-processor register). Any on-site audit will be limited to what is reasonably necessary, on reasonable notice, during business hours, subject to confidentiality, at the Client’s cost, and without compromising other clients’ data or AI Please’s systems.</w:t>
      </w:r>
    </w:p>
    <w:p w:rsidR="00000000" w:rsidDel="00000000" w:rsidP="00000000" w:rsidRDefault="00000000" w:rsidRPr="00000000" w14:paraId="0000001A">
      <w:pPr>
        <w:pStyle w:val="Heading2"/>
        <w:rPr>
          <w:rFonts w:ascii="Century Gothic" w:cs="Century Gothic" w:eastAsia="Century Gothic" w:hAnsi="Century Gothic"/>
          <w:b w:val="1"/>
          <w:bCs w:val="1"/>
          <w:sz w:val="23"/>
          <w:szCs w:val="23"/>
        </w:rPr>
      </w:pPr>
      <w:r w:rsidDel="00000000" w:rsidR="00000000" w:rsidRPr="00000000">
        <w:rPr>
          <w:rFonts w:ascii="Century Gothic" w:cs="Century Gothic" w:eastAsia="Century Gothic" w:hAnsi="Century Gothic"/>
          <w:b w:val="1"/>
          <w:bCs w:val="1"/>
          <w:color w:val="fe4939"/>
          <w:sz w:val="23"/>
          <w:szCs w:val="23"/>
          <w:rtl w:val="0"/>
        </w:rPr>
        <w:t xml:space="preserve">D.9 </w:t>
      </w:r>
      <w:r w:rsidDel="00000000" w:rsidR="00000000" w:rsidRPr="00000000">
        <w:rPr>
          <w:rFonts w:ascii="Century Gothic" w:cs="Century Gothic" w:eastAsia="Century Gothic" w:hAnsi="Century Gothic"/>
          <w:b w:val="1"/>
          <w:bCs w:val="1"/>
          <w:color w:val="000000"/>
          <w:sz w:val="23"/>
          <w:szCs w:val="23"/>
          <w:rtl w:val="0"/>
        </w:rPr>
        <w:t xml:space="preserve">Retention, return and secure deletion</w:t>
      </w:r>
      <w:r w:rsidDel="00000000" w:rsidR="00000000" w:rsidRPr="00000000">
        <w:rPr>
          <w:rtl w:val="0"/>
        </w:rPr>
      </w:r>
    </w:p>
    <w:p w:rsidR="00000000" w:rsidDel="00000000" w:rsidP="00000000" w:rsidRDefault="00000000" w:rsidRPr="00000000" w14:paraId="0000001B">
      <w:pPr>
        <w:spacing w:after="100" w:before="20" w:lineRule="auto"/>
        <w:ind w:left="720" w:firstLine="0"/>
        <w:rPr/>
      </w:pPr>
      <w:r w:rsidDel="00000000" w:rsidR="00000000" w:rsidRPr="00000000">
        <w:rPr>
          <w:rtl w:val="0"/>
        </w:rPr>
        <w:t xml:space="preserve">AI Please will retain Client Data only for the engagement and any legal retention obligation. A data deletion date, or the basis for calculating it, is set at the commencement of the engagement and recorded in the Engagement Data Schedule. On the earlier of the deletion date, completion of the Services or the Client’s written request, AI Please will, at the Client’s election, securely return and/or securely delete the Client Data (including copies held by sub-processors), except to the extent it must be retained by law or has been irreversibly de-identified, using methods appropriate to the sensitivity such that the data cannot practicably be retrieved, and will confirm deletion in writing on request.</w:t>
      </w:r>
    </w:p>
    <w:p w:rsidR="00000000" w:rsidDel="00000000" w:rsidP="00000000" w:rsidRDefault="00000000" w:rsidRPr="00000000" w14:paraId="0000001C">
      <w:pPr>
        <w:pStyle w:val="Heading2"/>
        <w:rPr>
          <w:rFonts w:ascii="Century Gothic" w:cs="Century Gothic" w:eastAsia="Century Gothic" w:hAnsi="Century Gothic"/>
          <w:b w:val="1"/>
          <w:bCs w:val="1"/>
          <w:sz w:val="23"/>
          <w:szCs w:val="23"/>
        </w:rPr>
      </w:pPr>
      <w:r w:rsidDel="00000000" w:rsidR="00000000" w:rsidRPr="00000000">
        <w:rPr>
          <w:rFonts w:ascii="Century Gothic" w:cs="Century Gothic" w:eastAsia="Century Gothic" w:hAnsi="Century Gothic"/>
          <w:b w:val="1"/>
          <w:bCs w:val="1"/>
          <w:color w:val="fe4939"/>
          <w:sz w:val="23"/>
          <w:szCs w:val="23"/>
          <w:rtl w:val="0"/>
        </w:rPr>
        <w:t xml:space="preserve">D.10 </w:t>
      </w:r>
      <w:r w:rsidDel="00000000" w:rsidR="00000000" w:rsidRPr="00000000">
        <w:rPr>
          <w:rFonts w:ascii="Century Gothic" w:cs="Century Gothic" w:eastAsia="Century Gothic" w:hAnsi="Century Gothic"/>
          <w:b w:val="1"/>
          <w:bCs w:val="1"/>
          <w:color w:val="000000"/>
          <w:sz w:val="23"/>
          <w:szCs w:val="23"/>
          <w:rtl w:val="0"/>
        </w:rPr>
        <w:t xml:space="preserve">De-identification and survival</w:t>
      </w:r>
      <w:r w:rsidDel="00000000" w:rsidR="00000000" w:rsidRPr="00000000">
        <w:rPr>
          <w:rtl w:val="0"/>
        </w:rPr>
      </w:r>
    </w:p>
    <w:p w:rsidR="00000000" w:rsidDel="00000000" w:rsidP="00000000" w:rsidRDefault="00000000" w:rsidRPr="00000000" w14:paraId="0000001D">
      <w:pPr>
        <w:spacing w:after="100" w:before="20" w:lineRule="auto"/>
        <w:ind w:left="720" w:firstLine="0"/>
        <w:rPr/>
      </w:pPr>
      <w:r w:rsidDel="00000000" w:rsidR="00000000" w:rsidRPr="00000000">
        <w:rPr>
          <w:rtl w:val="0"/>
        </w:rPr>
        <w:t xml:space="preserve">Where the engagement proceeds on de-identified data, the Client is responsible for de-identifying it before disclosure, in accordance with a recognised methodology (such as the OAIC and CSIRO Data61 De-Identification Decision-Making Framework), and for confirming in writing that the transferred dataset is de-identified for the environment in which AI Please will hold it. AI Please will not attempt to re-identify de-identified Client Data except as the Client expressly directs in writing for a lawful purpose. Clauses D.3, D.5, D.6, D.7, D.9 and D.10, and any accrued rights, survive termination or expiry.</w:t>
      </w:r>
    </w:p>
    <w:p w:rsidR="00000000" w:rsidDel="00000000" w:rsidP="00000000" w:rsidRDefault="00000000" w:rsidRPr="00000000" w14:paraId="0000001E">
      <w:pPr>
        <w:pStyle w:val="Heading2"/>
        <w:rPr>
          <w:rFonts w:ascii="Century Gothic" w:cs="Century Gothic" w:eastAsia="Century Gothic" w:hAnsi="Century Gothic"/>
          <w:b w:val="1"/>
          <w:bCs w:val="1"/>
          <w:sz w:val="23"/>
          <w:szCs w:val="23"/>
        </w:rPr>
      </w:pPr>
      <w:r w:rsidDel="00000000" w:rsidR="00000000" w:rsidRPr="00000000">
        <w:rPr>
          <w:rFonts w:ascii="Century Gothic" w:cs="Century Gothic" w:eastAsia="Century Gothic" w:hAnsi="Century Gothic"/>
          <w:b w:val="1"/>
          <w:bCs w:val="1"/>
          <w:color w:val="fe4939"/>
          <w:sz w:val="23"/>
          <w:szCs w:val="23"/>
          <w:rtl w:val="0"/>
        </w:rPr>
        <w:t xml:space="preserve">D.11 </w:t>
      </w:r>
      <w:r w:rsidDel="00000000" w:rsidR="00000000" w:rsidRPr="00000000">
        <w:rPr>
          <w:rFonts w:ascii="Century Gothic" w:cs="Century Gothic" w:eastAsia="Century Gothic" w:hAnsi="Century Gothic"/>
          <w:b w:val="1"/>
          <w:bCs w:val="1"/>
          <w:color w:val="000000"/>
          <w:sz w:val="23"/>
          <w:szCs w:val="23"/>
          <w:rtl w:val="0"/>
        </w:rPr>
        <w:t xml:space="preserve">Engagement Data Schedule </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dc7bb" w:space="0" w:sz="4" w:val="single"/>
              <w:left w:color="cdc7bb" w:space="0" w:sz="4" w:val="single"/>
              <w:bottom w:color="cdc7bb" w:space="0" w:sz="4" w:val="single"/>
              <w:right w:color="cdc7bb" w:space="0" w:sz="4" w:val="single"/>
            </w:tcBorders>
            <w:shd w:fill="e5e2dd"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1"/>
                <w:bCs w:val="1"/>
                <w:color w:val="291f16"/>
                <w:sz w:val="20"/>
                <w:szCs w:val="20"/>
                <w:rtl w:val="0"/>
              </w:rPr>
              <w:t xml:space="preserve">Client (accountable entity)</w:t>
            </w:r>
            <w:r w:rsidDel="00000000" w:rsidR="00000000" w:rsidRPr="00000000">
              <w:rPr>
                <w:rtl w:val="0"/>
              </w:rPr>
            </w:r>
          </w:p>
        </w:tc>
        <w:tc>
          <w:tcPr>
            <w:tcBorders>
              <w:top w:color="cdc7bb" w:space="0" w:sz="4" w:val="single"/>
              <w:left w:color="cdc7bb" w:space="0" w:sz="4" w:val="single"/>
              <w:bottom w:color="cdc7bb" w:space="0" w:sz="4" w:val="single"/>
              <w:right w:color="cdc7bb"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sz w:val="20"/>
                <w:szCs w:val="20"/>
                <w:rtl w:val="0"/>
              </w:rPr>
              <w:t xml:space="preserve">Intelecor Pty Ltd ACN 695 484 694, trading as Corveo, of Seaforth NSW 2092. Nominated contact: Andrew Roy, Director.</w:t>
            </w:r>
            <w:r w:rsidDel="00000000" w:rsidR="00000000" w:rsidRPr="00000000">
              <w:rPr>
                <w:rtl w:val="0"/>
              </w:rPr>
            </w:r>
          </w:p>
        </w:tc>
      </w:tr>
      <w:tr>
        <w:trPr>
          <w:cantSplit w:val="0"/>
          <w:tblHeader w:val="0"/>
        </w:trPr>
        <w:tc>
          <w:tcPr>
            <w:tcBorders>
              <w:top w:color="cdc7bb" w:space="0" w:sz="4" w:val="single"/>
              <w:left w:color="cdc7bb" w:space="0" w:sz="4" w:val="single"/>
              <w:bottom w:color="cdc7bb" w:space="0" w:sz="4" w:val="single"/>
              <w:right w:color="cdc7bb" w:space="0" w:sz="4" w:val="single"/>
            </w:tcBorders>
            <w:shd w:fill="e5e2dd"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1"/>
                <w:bCs w:val="1"/>
                <w:color w:val="291f16"/>
                <w:sz w:val="20"/>
                <w:szCs w:val="20"/>
                <w:rtl w:val="0"/>
              </w:rPr>
              <w:t xml:space="preserve">Engagement / SOW reference</w:t>
            </w:r>
            <w:r w:rsidDel="00000000" w:rsidR="00000000" w:rsidRPr="00000000">
              <w:rPr>
                <w:rtl w:val="0"/>
              </w:rPr>
            </w:r>
          </w:p>
        </w:tc>
        <w:tc>
          <w:tcPr>
            <w:tcBorders>
              <w:top w:color="cdc7bb" w:space="0" w:sz="4" w:val="single"/>
              <w:left w:color="cdc7bb" w:space="0" w:sz="4" w:val="single"/>
              <w:bottom w:color="cdc7bb" w:space="0" w:sz="4" w:val="single"/>
              <w:right w:color="cdc7bb"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sz w:val="20"/>
                <w:szCs w:val="20"/>
                <w:rtl w:val="0"/>
              </w:rPr>
              <w:t xml:space="preserve">SOW-2026-001 — BP Reset V1, entered into under the AI Please Services Agreement between AI Please Pty Ltd ACN 687 278 351 and the Client dated [date].</w:t>
            </w:r>
            <w:r w:rsidDel="00000000" w:rsidR="00000000" w:rsidRPr="00000000">
              <w:rPr>
                <w:rtl w:val="0"/>
              </w:rPr>
            </w:r>
          </w:p>
        </w:tc>
      </w:tr>
      <w:tr>
        <w:trPr>
          <w:cantSplit w:val="0"/>
          <w:tblHeader w:val="0"/>
        </w:trPr>
        <w:tc>
          <w:tcPr>
            <w:tcBorders>
              <w:top w:color="cdc7bb" w:space="0" w:sz="4" w:val="single"/>
              <w:left w:color="cdc7bb" w:space="0" w:sz="4" w:val="single"/>
              <w:bottom w:color="cdc7bb" w:space="0" w:sz="4" w:val="single"/>
              <w:right w:color="cdc7bb" w:space="0" w:sz="4" w:val="single"/>
            </w:tcBorders>
            <w:shd w:fill="e5e2dd"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1"/>
                <w:bCs w:val="1"/>
                <w:color w:val="291f16"/>
                <w:sz w:val="20"/>
                <w:szCs w:val="20"/>
                <w:rtl w:val="0"/>
              </w:rPr>
              <w:t xml:space="preserve">Jurisdiction and health-records law</w:t>
            </w:r>
            <w:r w:rsidDel="00000000" w:rsidR="00000000" w:rsidRPr="00000000">
              <w:rPr>
                <w:rtl w:val="0"/>
              </w:rPr>
            </w:r>
          </w:p>
        </w:tc>
        <w:tc>
          <w:tcPr>
            <w:tcBorders>
              <w:top w:color="cdc7bb" w:space="0" w:sz="4" w:val="single"/>
              <w:left w:color="cdc7bb" w:space="0" w:sz="4" w:val="single"/>
              <w:bottom w:color="cdc7bb" w:space="0" w:sz="4" w:val="single"/>
              <w:right w:color="cdc7bb"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20"/>
                <w:szCs w:val="20"/>
                <w:rtl w:val="0"/>
              </w:rPr>
              <w:t xml:space="preserve">Privacy Act 1988 (Cth), including the Australian Privacy Principles and the Notifiable Data Breaches scheme; plus the Health Records and Information Privacy Act 2002 (NSW). No other State or Territory health-records law applies.</w:t>
            </w:r>
            <w:r w:rsidDel="00000000" w:rsidR="00000000" w:rsidRPr="00000000">
              <w:rPr>
                <w:rtl w:val="0"/>
              </w:rPr>
            </w:r>
          </w:p>
        </w:tc>
      </w:tr>
      <w:tr>
        <w:trPr>
          <w:cantSplit w:val="0"/>
          <w:tblHeader w:val="0"/>
        </w:trPr>
        <w:tc>
          <w:tcPr>
            <w:tcBorders>
              <w:top w:color="cdc7bb" w:space="0" w:sz="4" w:val="single"/>
              <w:left w:color="cdc7bb" w:space="0" w:sz="4" w:val="single"/>
              <w:bottom w:color="cdc7bb" w:space="0" w:sz="4" w:val="single"/>
              <w:right w:color="cdc7bb" w:space="0" w:sz="4" w:val="single"/>
            </w:tcBorders>
            <w:shd w:fill="e5e2dd"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1"/>
                <w:bCs w:val="1"/>
                <w:color w:val="291f16"/>
                <w:sz w:val="20"/>
                <w:szCs w:val="20"/>
                <w:rtl w:val="0"/>
              </w:rPr>
              <w:t xml:space="preserve">Model selected</w:t>
            </w:r>
            <w:r w:rsidDel="00000000" w:rsidR="00000000" w:rsidRPr="00000000">
              <w:rPr>
                <w:rtl w:val="0"/>
              </w:rPr>
            </w:r>
          </w:p>
        </w:tc>
        <w:tc>
          <w:tcPr>
            <w:tcBorders>
              <w:top w:color="cdc7bb" w:space="0" w:sz="4" w:val="single"/>
              <w:left w:color="cdc7bb" w:space="0" w:sz="4" w:val="single"/>
              <w:bottom w:color="cdc7bb" w:space="0" w:sz="4" w:val="single"/>
              <w:right w:color="cdc7bb"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20"/>
                <w:szCs w:val="20"/>
                <w:rtl w:val="0"/>
              </w:rPr>
              <w:t xml:space="preserve">B (in the Client's environment) — SOW clause A.12.1. Model C (custody) is not invoked and does not apply. All identifiable Client Data remains in the Client Environment at all times. AI Please works through Client-provisioned named accounts with multi-factor authentication and holds no administrative credentials, no data-plane read access to identifiable Client Data and no export capability (SOW clause A.12.3). Development, testing and review are conducted in non-production environments on seeded or synthetic data only.</w:t>
            </w:r>
            <w:r w:rsidDel="00000000" w:rsidR="00000000" w:rsidRPr="00000000">
              <w:rPr>
                <w:rtl w:val="0"/>
              </w:rPr>
            </w:r>
          </w:p>
        </w:tc>
      </w:tr>
      <w:tr>
        <w:trPr>
          <w:cantSplit w:val="0"/>
          <w:tblHeader w:val="0"/>
        </w:trPr>
        <w:tc>
          <w:tcPr>
            <w:tcBorders>
              <w:top w:color="cdc7bb" w:space="0" w:sz="4" w:val="single"/>
              <w:left w:color="cdc7bb" w:space="0" w:sz="4" w:val="single"/>
              <w:bottom w:color="cdc7bb" w:space="0" w:sz="4" w:val="single"/>
              <w:right w:color="cdc7bb" w:space="0" w:sz="4" w:val="single"/>
            </w:tcBorders>
            <w:shd w:fill="e5e2dd"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1"/>
                <w:bCs w:val="1"/>
                <w:color w:val="291f16"/>
                <w:sz w:val="20"/>
                <w:szCs w:val="20"/>
                <w:rtl w:val="0"/>
              </w:rPr>
              <w:t xml:space="preserve">Categories of Client Data</w:t>
            </w:r>
            <w:r w:rsidDel="00000000" w:rsidR="00000000" w:rsidRPr="00000000">
              <w:rPr>
                <w:rtl w:val="0"/>
              </w:rPr>
            </w:r>
          </w:p>
        </w:tc>
        <w:tc>
          <w:tcPr>
            <w:tcBorders>
              <w:top w:color="cdc7bb" w:space="0" w:sz="4" w:val="single"/>
              <w:left w:color="cdc7bb" w:space="0" w:sz="4" w:val="single"/>
              <w:bottom w:color="cdc7bb" w:space="0" w:sz="4" w:val="single"/>
              <w:right w:color="cdc7bb"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20"/>
                <w:szCs w:val="20"/>
                <w:rtl w:val="0"/>
              </w:rPr>
              <w:t xml:space="preserve">Held in the Client Environment only: blood-pressure readings (manual entry and Apple Health sync) and associated observation records under the generic observation schema — Health Information; express consent records; patient account, authentication and app-state data; program progress data. AI Please handles seeded or synthetic data only; no identifiable Client Data is copied to, stored on or processed by AI Please systems or devices.</w:t>
            </w:r>
            <w:r w:rsidDel="00000000" w:rsidR="00000000" w:rsidRPr="00000000">
              <w:rPr>
                <w:rtl w:val="0"/>
              </w:rPr>
            </w:r>
          </w:p>
        </w:tc>
      </w:tr>
      <w:tr>
        <w:trPr>
          <w:cantSplit w:val="0"/>
          <w:tblHeader w:val="0"/>
        </w:trPr>
        <w:tc>
          <w:tcPr>
            <w:tcBorders>
              <w:top w:color="cdc7bb" w:space="0" w:sz="4" w:val="single"/>
              <w:left w:color="cdc7bb" w:space="0" w:sz="4" w:val="single"/>
              <w:bottom w:color="cdc7bb" w:space="0" w:sz="4" w:val="single"/>
              <w:right w:color="cdc7bb" w:space="0" w:sz="4" w:val="single"/>
            </w:tcBorders>
            <w:shd w:fill="e5e2dd"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1"/>
                <w:bCs w:val="1"/>
                <w:color w:val="291f16"/>
                <w:sz w:val="20"/>
                <w:szCs w:val="20"/>
                <w:rtl w:val="0"/>
              </w:rPr>
              <w:t xml:space="preserve">Categories of individuals</w:t>
            </w:r>
            <w:r w:rsidDel="00000000" w:rsidR="00000000" w:rsidRPr="00000000">
              <w:rPr>
                <w:rtl w:val="0"/>
              </w:rPr>
            </w:r>
          </w:p>
        </w:tc>
        <w:tc>
          <w:tcPr>
            <w:tcBorders>
              <w:top w:color="cdc7bb" w:space="0" w:sz="4" w:val="single"/>
              <w:left w:color="cdc7bb" w:space="0" w:sz="4" w:val="single"/>
              <w:bottom w:color="cdc7bb" w:space="0" w:sz="4" w:val="single"/>
              <w:right w:color="cdc7bb"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sz w:val="20"/>
                <w:szCs w:val="20"/>
                <w:rtl w:val="0"/>
              </w:rPr>
              <w:t xml:space="preserve">Patients and participants in the Client's six-week BP Reset program (Australian users first); Client personnel and nominated testers (named accounts and TestFlight testers).</w:t>
            </w:r>
            <w:r w:rsidDel="00000000" w:rsidR="00000000" w:rsidRPr="00000000">
              <w:rPr>
                <w:rtl w:val="0"/>
              </w:rPr>
            </w:r>
          </w:p>
        </w:tc>
      </w:tr>
      <w:tr>
        <w:trPr>
          <w:cantSplit w:val="0"/>
          <w:tblHeader w:val="0"/>
        </w:trPr>
        <w:tc>
          <w:tcPr>
            <w:tcBorders>
              <w:top w:color="cdc7bb" w:space="0" w:sz="4" w:val="single"/>
              <w:left w:color="cdc7bb" w:space="0" w:sz="4" w:val="single"/>
              <w:bottom w:color="cdc7bb" w:space="0" w:sz="4" w:val="single"/>
              <w:right w:color="cdc7bb" w:space="0" w:sz="4" w:val="single"/>
            </w:tcBorders>
            <w:shd w:fill="e5e2dd"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1"/>
                <w:bCs w:val="1"/>
                <w:color w:val="291f16"/>
                <w:sz w:val="20"/>
                <w:szCs w:val="20"/>
                <w:rtl w:val="0"/>
              </w:rPr>
              <w:t xml:space="preserve">Permitted purposes</w:t>
            </w:r>
            <w:r w:rsidDel="00000000" w:rsidR="00000000" w:rsidRPr="00000000">
              <w:rPr>
                <w:rtl w:val="0"/>
              </w:rPr>
            </w:r>
          </w:p>
        </w:tc>
        <w:tc>
          <w:tcPr>
            <w:tcBorders>
              <w:top w:color="cdc7bb" w:space="0" w:sz="4" w:val="single"/>
              <w:left w:color="cdc7bb" w:space="0" w:sz="4" w:val="single"/>
              <w:bottom w:color="cdc7bb" w:space="0" w:sz="4" w:val="single"/>
              <w:right w:color="cdc7bb"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sz w:val="20"/>
                <w:szCs w:val="20"/>
                <w:rtl w:val="0"/>
              </w:rPr>
              <w:t xml:space="preserve">Solely to design, build, test, deliver and hand over the BP Reset V1 Solution under SOW-2026-001 and to meet legal obligations, on a data-minimisation basis (Annexure D clause D.3). No use of Client Data to train, fine-tune or improve any model. No secondary purpose.</w:t>
            </w:r>
            <w:r w:rsidDel="00000000" w:rsidR="00000000" w:rsidRPr="00000000">
              <w:rPr>
                <w:rtl w:val="0"/>
              </w:rPr>
            </w:r>
          </w:p>
        </w:tc>
      </w:tr>
      <w:tr>
        <w:trPr>
          <w:cantSplit w:val="0"/>
          <w:tblHeader w:val="0"/>
        </w:trPr>
        <w:tc>
          <w:tcPr>
            <w:tcBorders>
              <w:top w:color="cdc7bb" w:space="0" w:sz="4" w:val="single"/>
              <w:left w:color="cdc7bb" w:space="0" w:sz="4" w:val="single"/>
              <w:bottom w:color="cdc7bb" w:space="0" w:sz="4" w:val="single"/>
              <w:right w:color="cdc7bb" w:space="0" w:sz="4" w:val="single"/>
            </w:tcBorders>
            <w:shd w:fill="e5e2dd"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1"/>
                <w:bCs w:val="1"/>
                <w:color w:val="291f16"/>
                <w:sz w:val="20"/>
                <w:szCs w:val="20"/>
                <w:rtl w:val="0"/>
              </w:rPr>
              <w:t xml:space="preserve">Australian data residency</w:t>
            </w:r>
            <w:r w:rsidDel="00000000" w:rsidR="00000000" w:rsidRPr="00000000">
              <w:rPr>
                <w:rtl w:val="0"/>
              </w:rPr>
            </w:r>
          </w:p>
        </w:tc>
        <w:tc>
          <w:tcPr>
            <w:tcBorders>
              <w:top w:color="cdc7bb" w:space="0" w:sz="4" w:val="single"/>
              <w:left w:color="cdc7bb" w:space="0" w:sz="4" w:val="single"/>
              <w:bottom w:color="cdc7bb" w:space="0" w:sz="4" w:val="single"/>
              <w:right w:color="cdc7bb"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sz w:val="20"/>
                <w:szCs w:val="20"/>
                <w:rtl w:val="0"/>
              </w:rPr>
              <w:t xml:space="preserve">Yes. The Supabase project is established in an Australian region in the Client's own account and name (SOW clauses A.12.2 and A.12.6), with Australian data residency for Health Information. No cross-border disclosure or transfer of Client Data by AI Please; no APP 8 approval is required or attached.</w:t>
            </w:r>
            <w:r w:rsidDel="00000000" w:rsidR="00000000" w:rsidRPr="00000000">
              <w:rPr>
                <w:rtl w:val="0"/>
              </w:rPr>
            </w:r>
          </w:p>
        </w:tc>
      </w:tr>
      <w:tr>
        <w:trPr>
          <w:cantSplit w:val="0"/>
          <w:tblHeader w:val="0"/>
        </w:trPr>
        <w:tc>
          <w:tcPr>
            <w:tcBorders>
              <w:top w:color="cdc7bb" w:space="0" w:sz="4" w:val="single"/>
              <w:left w:color="cdc7bb" w:space="0" w:sz="4" w:val="single"/>
              <w:bottom w:color="cdc7bb" w:space="0" w:sz="4" w:val="single"/>
              <w:right w:color="cdc7bb" w:space="0" w:sz="4" w:val="single"/>
            </w:tcBorders>
            <w:shd w:fill="e5e2dd"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1"/>
                <w:bCs w:val="1"/>
                <w:color w:val="291f16"/>
                <w:sz w:val="20"/>
                <w:szCs w:val="20"/>
                <w:rtl w:val="0"/>
              </w:rPr>
              <w:t xml:space="preserve">Sub-processors / AI and cloud services</w:t>
            </w:r>
            <w:r w:rsidDel="00000000" w:rsidR="00000000" w:rsidRPr="00000000">
              <w:rPr>
                <w:rtl w:val="0"/>
              </w:rPr>
            </w:r>
          </w:p>
        </w:tc>
        <w:tc>
          <w:tcPr>
            <w:tcBorders>
              <w:top w:color="cdc7bb" w:space="0" w:sz="4" w:val="single"/>
              <w:left w:color="cdc7bb" w:space="0" w:sz="4" w:val="single"/>
              <w:bottom w:color="cdc7bb" w:space="0" w:sz="4" w:val="single"/>
              <w:right w:color="cdc7bb"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20"/>
                <w:szCs w:val="20"/>
                <w:rtl w:val="0"/>
              </w:rPr>
              <w:t xml:space="preserve">None. No AI Please sub-processor, AI service or cloud service handles identifiable Client Data under this engagement. The platform services for the Solution — the Client's Supabase project, the Client's Apple Developer (organisation) account and TestFlight, and the source code repository — are held in the Client's name and contracted and paid for by the Client direct to the provider (SOW clause A.12.4); they are the Client's providers, not AI Please sub-processors. AI Please development tooling operates on seeded or synthetic data only. Any proposed sub-processor that would handle identifiable Client Data requires prior disclosure in this register under Annexure D clause D.5.</w:t>
            </w:r>
            <w:r w:rsidDel="00000000" w:rsidR="00000000" w:rsidRPr="00000000">
              <w:rPr>
                <w:rtl w:val="0"/>
              </w:rPr>
            </w:r>
          </w:p>
        </w:tc>
      </w:tr>
      <w:tr>
        <w:trPr>
          <w:cantSplit w:val="0"/>
          <w:tblHeader w:val="0"/>
        </w:trPr>
        <w:tc>
          <w:tcPr>
            <w:tcBorders>
              <w:top w:color="cdc7bb" w:space="0" w:sz="4" w:val="single"/>
              <w:left w:color="cdc7bb" w:space="0" w:sz="4" w:val="single"/>
              <w:bottom w:color="cdc7bb" w:space="0" w:sz="4" w:val="single"/>
              <w:right w:color="cdc7bb" w:space="0" w:sz="4" w:val="single"/>
            </w:tcBorders>
            <w:shd w:fill="e5e2dd"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1"/>
                <w:bCs w:val="1"/>
                <w:color w:val="291f16"/>
                <w:sz w:val="20"/>
                <w:szCs w:val="20"/>
                <w:rtl w:val="0"/>
              </w:rPr>
              <w:t xml:space="preserve">Retention period</w:t>
            </w:r>
            <w:r w:rsidDel="00000000" w:rsidR="00000000" w:rsidRPr="00000000">
              <w:rPr>
                <w:rtl w:val="0"/>
              </w:rPr>
            </w:r>
          </w:p>
        </w:tc>
        <w:tc>
          <w:tcPr>
            <w:tcBorders>
              <w:top w:color="cdc7bb" w:space="0" w:sz="4" w:val="single"/>
              <w:left w:color="cdc7bb" w:space="0" w:sz="4" w:val="single"/>
              <w:bottom w:color="cdc7bb" w:space="0" w:sz="4" w:val="single"/>
              <w:right w:color="cdc7bb"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sz w:val="20"/>
                <w:szCs w:val="20"/>
                <w:rtl w:val="0"/>
              </w:rPr>
              <w:t xml:space="preserve">Determined and applied by the Client as the accountable entity against the applicable health-records floor. The Solution supports retention by way of deletion-with-logging against that floor (SOW clause A.12.6). AI Please holds no identifiable Client Data and applies no separate retention period.</w:t>
            </w:r>
            <w:r w:rsidDel="00000000" w:rsidR="00000000" w:rsidRPr="00000000">
              <w:rPr>
                <w:rtl w:val="0"/>
              </w:rPr>
            </w:r>
          </w:p>
        </w:tc>
      </w:tr>
      <w:tr>
        <w:trPr>
          <w:cantSplit w:val="0"/>
          <w:tblHeader w:val="0"/>
        </w:trPr>
        <w:tc>
          <w:tcPr>
            <w:tcBorders>
              <w:top w:color="cdc7bb" w:space="0" w:sz="4" w:val="single"/>
              <w:left w:color="cdc7bb" w:space="0" w:sz="4" w:val="single"/>
              <w:bottom w:color="cdc7bb" w:space="0" w:sz="4" w:val="single"/>
              <w:right w:color="cdc7bb" w:space="0" w:sz="4" w:val="single"/>
            </w:tcBorders>
            <w:shd w:fill="e5e2dd"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1"/>
                <w:bCs w:val="1"/>
                <w:color w:val="291f16"/>
                <w:sz w:val="20"/>
                <w:szCs w:val="20"/>
                <w:rtl w:val="0"/>
              </w:rPr>
              <w:t xml:space="preserve">Deletion date (set at start)</w:t>
            </w:r>
            <w:r w:rsidDel="00000000" w:rsidR="00000000" w:rsidRPr="00000000">
              <w:rPr>
                <w:rtl w:val="0"/>
              </w:rPr>
            </w:r>
          </w:p>
        </w:tc>
        <w:tc>
          <w:tcPr>
            <w:tcBorders>
              <w:top w:color="cdc7bb" w:space="0" w:sz="4" w:val="single"/>
              <w:left w:color="cdc7bb" w:space="0" w:sz="4" w:val="single"/>
              <w:bottom w:color="cdc7bb" w:space="0" w:sz="4" w:val="single"/>
              <w:right w:color="cdc7bb"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20"/>
                <w:szCs w:val="20"/>
                <w:rtl w:val="0"/>
              </w:rPr>
              <w:t xml:space="preserve">Not applicable — no custody (Model B). On completion or termination of SOW-2026-001: the Client revokes AI Please's named-account access; all credentials, keys and account ownership are confirmed as held by the Client (Stage 4 handover, SOW clause A.8.2); and seeded or synthetic non-production data and any Confidential Information held by AI Please are dealt with under clauses 11 and 12 of the agreement.</w:t>
            </w:r>
            <w:r w:rsidDel="00000000" w:rsidR="00000000" w:rsidRPr="00000000">
              <w:rPr>
                <w:rtl w:val="0"/>
              </w:rPr>
            </w:r>
          </w:p>
        </w:tc>
      </w:tr>
      <w:tr>
        <w:trPr>
          <w:cantSplit w:val="0"/>
          <w:tblHeader w:val="0"/>
        </w:trPr>
        <w:tc>
          <w:tcPr>
            <w:tcBorders>
              <w:top w:color="cdc7bb" w:space="0" w:sz="4" w:val="single"/>
              <w:left w:color="cdc7bb" w:space="0" w:sz="4" w:val="single"/>
              <w:bottom w:color="cdc7bb" w:space="0" w:sz="4" w:val="single"/>
              <w:right w:color="cdc7bb" w:space="0" w:sz="4" w:val="single"/>
            </w:tcBorders>
            <w:shd w:fill="e5e2dd"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b w:val="1"/>
                <w:bCs w:val="1"/>
                <w:color w:val="291f16"/>
                <w:sz w:val="20"/>
                <w:szCs w:val="20"/>
                <w:rtl w:val="0"/>
              </w:rPr>
              <w:t xml:space="preserve">De-identification confirmed (Model A)</w:t>
            </w:r>
            <w:r w:rsidDel="00000000" w:rsidR="00000000" w:rsidRPr="00000000">
              <w:rPr>
                <w:rtl w:val="0"/>
              </w:rPr>
            </w:r>
          </w:p>
        </w:tc>
        <w:tc>
          <w:tcPr>
            <w:tcBorders>
              <w:top w:color="cdc7bb" w:space="0" w:sz="4" w:val="single"/>
              <w:left w:color="cdc7bb" w:space="0" w:sz="4" w:val="single"/>
              <w:bottom w:color="cdc7bb" w:space="0" w:sz="4" w:val="single"/>
              <w:right w:color="cdc7bb"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N/A — Model B selected.</w:t>
            </w:r>
            <w:r w:rsidDel="00000000" w:rsidR="00000000" w:rsidRPr="00000000">
              <w:rPr>
                <w:rtl w:val="0"/>
              </w:rPr>
            </w:r>
          </w:p>
        </w:tc>
      </w:tr>
      <w:tr>
        <w:trPr>
          <w:cantSplit w:val="0"/>
          <w:tblHeader w:val="0"/>
        </w:trPr>
        <w:tc>
          <w:tcPr>
            <w:tcBorders>
              <w:top w:color="cdc7bb" w:space="0" w:sz="4" w:val="single"/>
              <w:left w:color="cdc7bb" w:space="0" w:sz="4" w:val="single"/>
              <w:bottom w:color="cdc7bb" w:space="0" w:sz="4" w:val="single"/>
              <w:right w:color="cdc7bb" w:space="0" w:sz="4" w:val="single"/>
            </w:tcBorders>
            <w:shd w:fill="e5e2dd"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b w:val="1"/>
                <w:bCs w:val="1"/>
                <w:color w:val="291f16"/>
                <w:sz w:val="20"/>
                <w:szCs w:val="20"/>
                <w:rtl w:val="0"/>
              </w:rPr>
              <w:t xml:space="preserve">Privacy impact assessment</w:t>
            </w:r>
            <w:r w:rsidDel="00000000" w:rsidR="00000000" w:rsidRPr="00000000">
              <w:rPr>
                <w:rtl w:val="0"/>
              </w:rPr>
            </w:r>
          </w:p>
        </w:tc>
        <w:tc>
          <w:tcPr>
            <w:tcBorders>
              <w:top w:color="cdc7bb" w:space="0" w:sz="4" w:val="single"/>
              <w:left w:color="cdc7bb" w:space="0" w:sz="4" w:val="single"/>
              <w:bottom w:color="cdc7bb" w:space="0" w:sz="4" w:val="single"/>
              <w:right w:color="cdc7bb"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20"/>
                <w:szCs w:val="20"/>
                <w:rtl w:val="0"/>
              </w:rPr>
              <w:t xml:space="preserve">N/A for AI Please — under Model B, AI Please handles no identifiable Personal Information or Health Information. Privacy compliance for the Solution, including any privacy impact assessment, rests with the Client as the accountable entity (SOW clauses A.5.3 and A.13.3).</w:t>
            </w:r>
            <w:r w:rsidDel="00000000" w:rsidR="00000000" w:rsidRPr="00000000">
              <w:rPr>
                <w:rtl w:val="0"/>
              </w:rPr>
            </w:r>
          </w:p>
        </w:tc>
      </w:tr>
      <w:tr>
        <w:trPr>
          <w:cantSplit w:val="0"/>
          <w:tblHeader w:val="0"/>
        </w:trPr>
        <w:tc>
          <w:tcPr>
            <w:tcBorders>
              <w:top w:color="cdc7bb" w:space="0" w:sz="4" w:val="single"/>
              <w:left w:color="cdc7bb" w:space="0" w:sz="4" w:val="single"/>
              <w:bottom w:color="cdc7bb" w:space="0" w:sz="4" w:val="single"/>
              <w:right w:color="cdc7bb" w:space="0" w:sz="4" w:val="single"/>
            </w:tcBorders>
            <w:shd w:fill="e5e2dd"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b w:val="1"/>
                <w:bCs w:val="1"/>
                <w:color w:val="291f16"/>
                <w:sz w:val="20"/>
                <w:szCs w:val="20"/>
                <w:rtl w:val="0"/>
              </w:rPr>
              <w:t xml:space="preserve">Model C custody authorisation</w:t>
            </w:r>
            <w:r w:rsidDel="00000000" w:rsidR="00000000" w:rsidRPr="00000000">
              <w:rPr>
                <w:rtl w:val="0"/>
              </w:rPr>
            </w:r>
          </w:p>
        </w:tc>
        <w:tc>
          <w:tcPr>
            <w:tcBorders>
              <w:top w:color="cdc7bb" w:space="0" w:sz="4" w:val="single"/>
              <w:left w:color="cdc7bb" w:space="0" w:sz="4" w:val="single"/>
              <w:bottom w:color="cdc7bb" w:space="0" w:sz="4" w:val="single"/>
              <w:right w:color="cdc7bb"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20"/>
                <w:szCs w:val="20"/>
                <w:rtl w:val="0"/>
              </w:rPr>
              <w:t xml:space="preserve">Not applicable. Model C is not invoked and does not apply to this engagement (SOW clause A.12.1). This authorisation is intentionally left unsigned.</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120" w:before="60" w:lineRule="auto"/>
        <w:rPr/>
      </w:pPr>
      <w:r w:rsidDel="00000000" w:rsidR="00000000" w:rsidRPr="00000000">
        <w:rPr>
          <w:b w:val="1"/>
          <w:bCs w:val="1"/>
          <w:color w:val="291f16"/>
          <w:sz w:val="26"/>
          <w:szCs w:val="26"/>
          <w:rtl w:val="0"/>
        </w:rPr>
        <w:t xml:space="preserve">Executed as an agreement</w:t>
      </w:r>
      <w:r w:rsidDel="00000000" w:rsidR="00000000" w:rsidRPr="00000000">
        <w:rPr>
          <w:rtl w:val="0"/>
        </w:rPr>
      </w:r>
    </w:p>
    <w:p w:rsidR="00000000" w:rsidDel="00000000" w:rsidP="00000000" w:rsidRDefault="00000000" w:rsidRPr="00000000" w14:paraId="0000003E">
      <w:pPr>
        <w:pBdr>
          <w:bottom w:color="fe4939" w:space="1" w:sz="12" w:val="single"/>
        </w:pBdr>
        <w:spacing w:after="160" w:lineRule="auto"/>
        <w:rPr/>
      </w:pPr>
      <w:r w:rsidDel="00000000" w:rsidR="00000000" w:rsidRPr="00000000">
        <w:rPr>
          <w:rtl w:val="0"/>
        </w:rPr>
      </w:r>
    </w:p>
    <w:p w:rsidR="00000000" w:rsidDel="00000000" w:rsidP="00000000" w:rsidRDefault="00000000" w:rsidRPr="00000000" w14:paraId="0000003F">
      <w:pPr>
        <w:spacing w:after="60" w:before="120" w:lineRule="auto"/>
        <w:rPr/>
      </w:pPr>
      <w:r w:rsidDel="00000000" w:rsidR="00000000" w:rsidRPr="00000000">
        <w:rPr>
          <w:b w:val="1"/>
          <w:bCs w:val="1"/>
          <w:color w:val="291f16"/>
          <w:sz w:val="20"/>
          <w:szCs w:val="20"/>
          <w:rtl w:val="0"/>
        </w:rPr>
        <w:t xml:space="preserve">Executed by AI Please Pty Ltd ACN 687 278 351 in accordance with section 127(1) of the Corporations Act 2001 (Cth):</w:t>
      </w:r>
      <w:r w:rsidDel="00000000" w:rsidR="00000000" w:rsidRPr="00000000">
        <w:rPr>
          <w:rtl w:val="0"/>
        </w:rPr>
      </w:r>
    </w:p>
    <w:tbl>
      <w:tblPr>
        <w:tblStyle w:val="Table3"/>
        <w:tblW w:w="9360.0" w:type="dxa"/>
        <w:jc w:val="left"/>
        <w:tblLayout w:type="fixed"/>
        <w:tblLook w:val="0000"/>
      </w:tblPr>
      <w:tblGrid>
        <w:gridCol w:w="4680"/>
        <w:gridCol w:w="4680"/>
        <w:tblGridChange w:id="0">
          <w:tblGrid>
            <w:gridCol w:w="4680"/>
            <w:gridCol w:w="4680"/>
          </w:tblGrid>
        </w:tblGridChange>
      </w:tblGrid>
      <w:tr>
        <w:trPr>
          <w:cantSplit w:val="0"/>
          <w:tblHeader w:val="0"/>
        </w:trPr>
        <w:tc>
          <w:tcPr>
            <w:tcMar>
              <w:top w:w="60.0" w:type="dxa"/>
              <w:left w:w="0.0" w:type="dxa"/>
              <w:bottom w:w="120.0" w:type="dxa"/>
              <w:right w:w="240.0" w:type="dxa"/>
            </w:tcMar>
          </w:tcPr>
          <w:p w:rsidR="00000000" w:rsidDel="00000000" w:rsidP="00000000" w:rsidRDefault="00000000" w:rsidRPr="00000000" w14:paraId="00000040">
            <w:pPr>
              <w:pBdr>
                <w:bottom w:color="857e72" w:space="0" w:sz="6" w:val="single"/>
              </w:pBdr>
              <w:spacing w:after="40" w:before="300" w:lineRule="auto"/>
              <w:rPr/>
            </w:pPr>
            <w:r w:rsidDel="00000000" w:rsidR="00000000" w:rsidRPr="00000000">
              <w:rPr>
                <w:rtl w:val="0"/>
              </w:rPr>
            </w:r>
          </w:p>
          <w:p w:rsidR="00000000" w:rsidDel="00000000" w:rsidP="00000000" w:rsidRDefault="00000000" w:rsidRPr="00000000" w14:paraId="00000041">
            <w:pPr>
              <w:spacing w:after="260" w:lineRule="auto"/>
              <w:rPr/>
            </w:pPr>
            <w:r w:rsidDel="00000000" w:rsidR="00000000" w:rsidRPr="00000000">
              <w:rPr>
                <w:color w:val="857e72"/>
                <w:sz w:val="17"/>
                <w:szCs w:val="17"/>
                <w:rtl w:val="0"/>
              </w:rPr>
              <w:t xml:space="preserve">Signature of director</w:t>
            </w:r>
            <w:r w:rsidDel="00000000" w:rsidR="00000000" w:rsidRPr="00000000">
              <w:rPr>
                <w:rtl w:val="0"/>
              </w:rPr>
            </w:r>
          </w:p>
          <w:p w:rsidR="00000000" w:rsidDel="00000000" w:rsidP="00000000" w:rsidRDefault="00000000" w:rsidRPr="00000000" w14:paraId="00000042">
            <w:pPr>
              <w:pBdr>
                <w:bottom w:color="857e72" w:space="0" w:sz="6" w:val="single"/>
              </w:pBdr>
              <w:spacing w:after="4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color w:val="857e72"/>
                <w:sz w:val="17"/>
                <w:szCs w:val="17"/>
                <w:rtl w:val="0"/>
              </w:rPr>
              <w:t xml:space="preserve">Name (print)</w:t>
            </w:r>
            <w:r w:rsidDel="00000000" w:rsidR="00000000" w:rsidRPr="00000000">
              <w:rPr>
                <w:rtl w:val="0"/>
              </w:rPr>
            </w:r>
          </w:p>
        </w:tc>
        <w:tc>
          <w:tcPr>
            <w:tcMar>
              <w:top w:w="60.0" w:type="dxa"/>
              <w:left w:w="0.0" w:type="dxa"/>
              <w:bottom w:w="120.0" w:type="dxa"/>
              <w:right w:w="240.0" w:type="dxa"/>
            </w:tcMar>
          </w:tcPr>
          <w:p w:rsidR="00000000" w:rsidDel="00000000" w:rsidP="00000000" w:rsidRDefault="00000000" w:rsidRPr="00000000" w14:paraId="00000044">
            <w:pPr>
              <w:pBdr>
                <w:bottom w:color="857e72" w:space="0" w:sz="6" w:val="single"/>
              </w:pBdr>
              <w:spacing w:after="40" w:before="300" w:lineRule="auto"/>
              <w:rPr/>
            </w:pPr>
            <w:r w:rsidDel="00000000" w:rsidR="00000000" w:rsidRPr="00000000">
              <w:rPr>
                <w:rtl w:val="0"/>
              </w:rPr>
            </w:r>
          </w:p>
          <w:p w:rsidR="00000000" w:rsidDel="00000000" w:rsidP="00000000" w:rsidRDefault="00000000" w:rsidRPr="00000000" w14:paraId="00000045">
            <w:pPr>
              <w:spacing w:after="260" w:lineRule="auto"/>
              <w:rPr/>
            </w:pPr>
            <w:r w:rsidDel="00000000" w:rsidR="00000000" w:rsidRPr="00000000">
              <w:rPr>
                <w:color w:val="857e72"/>
                <w:sz w:val="17"/>
                <w:szCs w:val="17"/>
                <w:rtl w:val="0"/>
              </w:rPr>
              <w:t xml:space="preserve">Signature of director or company secretary</w:t>
            </w:r>
            <w:r w:rsidDel="00000000" w:rsidR="00000000" w:rsidRPr="00000000">
              <w:rPr>
                <w:rtl w:val="0"/>
              </w:rPr>
            </w:r>
          </w:p>
          <w:p w:rsidR="00000000" w:rsidDel="00000000" w:rsidP="00000000" w:rsidRDefault="00000000" w:rsidRPr="00000000" w14:paraId="00000046">
            <w:pPr>
              <w:pBdr>
                <w:bottom w:color="857e72" w:space="0" w:sz="6" w:val="single"/>
              </w:pBdr>
              <w:spacing w:after="40" w:lineRule="auto"/>
              <w:rPr/>
            </w:pPr>
            <w:r w:rsidDel="00000000" w:rsidR="00000000" w:rsidRPr="00000000">
              <w:rPr>
                <w:rtl w:val="0"/>
              </w:rPr>
            </w:r>
          </w:p>
          <w:p w:rsidR="00000000" w:rsidDel="00000000" w:rsidP="00000000" w:rsidRDefault="00000000" w:rsidRPr="00000000" w14:paraId="00000047">
            <w:pPr>
              <w:rPr/>
            </w:pPr>
            <w:r w:rsidDel="00000000" w:rsidR="00000000" w:rsidRPr="00000000">
              <w:rPr>
                <w:color w:val="857e72"/>
                <w:sz w:val="17"/>
                <w:szCs w:val="17"/>
                <w:rtl w:val="0"/>
              </w:rPr>
              <w:t xml:space="preserve">Name (print)</w:t>
            </w:r>
            <w:r w:rsidDel="00000000" w:rsidR="00000000" w:rsidRPr="00000000">
              <w:rPr>
                <w:rtl w:val="0"/>
              </w:rPr>
            </w:r>
          </w:p>
        </w:tc>
      </w:tr>
    </w:tbl>
    <w:p w:rsidR="00000000" w:rsidDel="00000000" w:rsidP="00000000" w:rsidRDefault="00000000" w:rsidRPr="00000000" w14:paraId="00000048">
      <w:pPr>
        <w:spacing w:after="200" w:before="40" w:lineRule="auto"/>
        <w:rPr/>
      </w:pPr>
      <w:r w:rsidDel="00000000" w:rsidR="00000000" w:rsidRPr="00000000">
        <w:rPr>
          <w:i w:val="1"/>
          <w:iCs w:val="1"/>
          <w:color w:val="857e72"/>
          <w:sz w:val="16"/>
          <w:szCs w:val="16"/>
          <w:rtl w:val="0"/>
        </w:rPr>
        <w:t xml:space="preserve">Or, for a proprietary company with a sole director, signed by that sole director (state capacity: sole director and sole company secretary, or sole director where the company has no company secretary).</w:t>
      </w:r>
      <w:r w:rsidDel="00000000" w:rsidR="00000000" w:rsidRPr="00000000">
        <w:rPr>
          <w:rtl w:val="0"/>
        </w:rPr>
      </w:r>
    </w:p>
    <w:p w:rsidR="00000000" w:rsidDel="00000000" w:rsidP="00000000" w:rsidRDefault="00000000" w:rsidRPr="00000000" w14:paraId="00000049">
      <w:pPr>
        <w:spacing w:after="60" w:before="120" w:lineRule="auto"/>
        <w:rPr/>
      </w:pPr>
      <w:r w:rsidDel="00000000" w:rsidR="00000000" w:rsidRPr="00000000">
        <w:rPr>
          <w:b w:val="1"/>
          <w:bCs w:val="1"/>
          <w:color w:val="291f16"/>
          <w:sz w:val="20"/>
          <w:szCs w:val="20"/>
          <w:rtl w:val="0"/>
        </w:rPr>
        <w:t xml:space="preserve">Executed by Intelecor Pty Ltd ACN 695 484 694 in accordance with section 127(1) of the Corporations Act 2001 (Cth):</w:t>
      </w:r>
      <w:r w:rsidDel="00000000" w:rsidR="00000000" w:rsidRPr="00000000">
        <w:rPr>
          <w:rtl w:val="0"/>
        </w:rPr>
      </w:r>
    </w:p>
    <w:tbl>
      <w:tblPr>
        <w:tblStyle w:val="Table4"/>
        <w:tblW w:w="9360.0" w:type="dxa"/>
        <w:jc w:val="left"/>
        <w:tblLayout w:type="fixed"/>
        <w:tblLook w:val="0000"/>
      </w:tblPr>
      <w:tblGrid>
        <w:gridCol w:w="4680"/>
        <w:gridCol w:w="4680"/>
        <w:tblGridChange w:id="0">
          <w:tblGrid>
            <w:gridCol w:w="4680"/>
            <w:gridCol w:w="4680"/>
          </w:tblGrid>
        </w:tblGridChange>
      </w:tblGrid>
      <w:tr>
        <w:trPr>
          <w:cantSplit w:val="0"/>
          <w:tblHeader w:val="0"/>
        </w:trPr>
        <w:tc>
          <w:tcPr>
            <w:tcMar>
              <w:top w:w="60.0" w:type="dxa"/>
              <w:left w:w="0.0" w:type="dxa"/>
              <w:bottom w:w="120.0" w:type="dxa"/>
              <w:right w:w="240.0" w:type="dxa"/>
            </w:tcMar>
          </w:tcPr>
          <w:p w:rsidR="00000000" w:rsidDel="00000000" w:rsidP="00000000" w:rsidRDefault="00000000" w:rsidRPr="00000000" w14:paraId="0000004A">
            <w:pPr>
              <w:pBdr>
                <w:bottom w:color="857e72" w:space="0" w:sz="6" w:val="single"/>
              </w:pBdr>
              <w:spacing w:after="40" w:before="300" w:lineRule="auto"/>
              <w:rPr/>
            </w:pPr>
            <w:r w:rsidDel="00000000" w:rsidR="00000000" w:rsidRPr="00000000">
              <w:rPr>
                <w:rtl w:val="0"/>
              </w:rPr>
              <w:t xml:space="preserve">AK ROY</w:t>
            </w:r>
          </w:p>
          <w:p w:rsidR="00000000" w:rsidDel="00000000" w:rsidP="00000000" w:rsidRDefault="00000000" w:rsidRPr="00000000" w14:paraId="0000004B">
            <w:pPr>
              <w:spacing w:after="260" w:lineRule="auto"/>
              <w:rPr/>
            </w:pPr>
            <w:r w:rsidDel="00000000" w:rsidR="00000000" w:rsidRPr="00000000">
              <w:rPr>
                <w:color w:val="857e72"/>
                <w:sz w:val="17"/>
                <w:szCs w:val="17"/>
                <w:rtl w:val="0"/>
              </w:rPr>
              <w:t xml:space="preserve">Signature of director</w:t>
            </w:r>
            <w:r w:rsidDel="00000000" w:rsidR="00000000" w:rsidRPr="00000000">
              <w:rPr>
                <w:rtl w:val="0"/>
              </w:rPr>
            </w:r>
          </w:p>
          <w:p w:rsidR="00000000" w:rsidDel="00000000" w:rsidP="00000000" w:rsidRDefault="00000000" w:rsidRPr="00000000" w14:paraId="0000004C">
            <w:pPr>
              <w:pBdr>
                <w:bottom w:color="857e72" w:space="0" w:sz="6" w:val="single"/>
              </w:pBdr>
              <w:spacing w:after="40" w:lineRule="auto"/>
              <w:rPr/>
            </w:pPr>
            <w:r w:rsidDel="00000000" w:rsidR="00000000" w:rsidRPr="00000000">
              <w:rPr>
                <w:rtl w:val="0"/>
              </w:rPr>
              <w:t xml:space="preserve">ANDREW ROY</w:t>
            </w:r>
          </w:p>
          <w:p w:rsidR="00000000" w:rsidDel="00000000" w:rsidP="00000000" w:rsidRDefault="00000000" w:rsidRPr="00000000" w14:paraId="0000004D">
            <w:pPr>
              <w:rPr/>
            </w:pPr>
            <w:r w:rsidDel="00000000" w:rsidR="00000000" w:rsidRPr="00000000">
              <w:rPr>
                <w:color w:val="857e72"/>
                <w:sz w:val="17"/>
                <w:szCs w:val="17"/>
                <w:rtl w:val="0"/>
              </w:rPr>
              <w:t xml:space="preserve">Name (print)</w:t>
            </w:r>
            <w:r w:rsidDel="00000000" w:rsidR="00000000" w:rsidRPr="00000000">
              <w:rPr>
                <w:rtl w:val="0"/>
              </w:rPr>
            </w:r>
          </w:p>
        </w:tc>
        <w:tc>
          <w:tcPr>
            <w:tcMar>
              <w:top w:w="60.0" w:type="dxa"/>
              <w:left w:w="0.0" w:type="dxa"/>
              <w:bottom w:w="120.0" w:type="dxa"/>
              <w:right w:w="240.0" w:type="dxa"/>
            </w:tcMar>
          </w:tcPr>
          <w:p w:rsidR="00000000" w:rsidDel="00000000" w:rsidP="00000000" w:rsidRDefault="00000000" w:rsidRPr="00000000" w14:paraId="0000004E">
            <w:pPr>
              <w:pBdr>
                <w:bottom w:color="857e72" w:space="0" w:sz="6" w:val="single"/>
              </w:pBdr>
              <w:spacing w:after="40" w:before="300" w:lineRule="auto"/>
              <w:rPr/>
            </w:pPr>
            <w:r w:rsidDel="00000000" w:rsidR="00000000" w:rsidRPr="00000000">
              <w:rPr>
                <w:rtl w:val="0"/>
              </w:rPr>
            </w:r>
          </w:p>
          <w:p w:rsidR="00000000" w:rsidDel="00000000" w:rsidP="00000000" w:rsidRDefault="00000000" w:rsidRPr="00000000" w14:paraId="0000004F">
            <w:pPr>
              <w:spacing w:after="260" w:lineRule="auto"/>
              <w:rPr/>
            </w:pPr>
            <w:r w:rsidDel="00000000" w:rsidR="00000000" w:rsidRPr="00000000">
              <w:rPr>
                <w:color w:val="857e72"/>
                <w:sz w:val="17"/>
                <w:szCs w:val="17"/>
                <w:rtl w:val="0"/>
              </w:rPr>
              <w:t xml:space="preserve">Signature of director or company secretary</w:t>
            </w:r>
            <w:r w:rsidDel="00000000" w:rsidR="00000000" w:rsidRPr="00000000">
              <w:rPr>
                <w:rtl w:val="0"/>
              </w:rPr>
            </w:r>
          </w:p>
          <w:p w:rsidR="00000000" w:rsidDel="00000000" w:rsidP="00000000" w:rsidRDefault="00000000" w:rsidRPr="00000000" w14:paraId="00000050">
            <w:pPr>
              <w:pBdr>
                <w:bottom w:color="857e72" w:space="0" w:sz="6" w:val="single"/>
              </w:pBdr>
              <w:spacing w:after="4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rPr>
                <w:color w:val="857e72"/>
                <w:sz w:val="17"/>
                <w:szCs w:val="17"/>
                <w:rtl w:val="0"/>
              </w:rPr>
              <w:t xml:space="preserve">Name (print)</w:t>
            </w:r>
            <w:r w:rsidDel="00000000" w:rsidR="00000000" w:rsidRPr="00000000">
              <w:rPr>
                <w:rtl w:val="0"/>
              </w:rPr>
            </w:r>
          </w:p>
        </w:tc>
      </w:tr>
    </w:tbl>
    <w:p w:rsidR="00000000" w:rsidDel="00000000" w:rsidP="00000000" w:rsidRDefault="00000000" w:rsidRPr="00000000" w14:paraId="00000052">
      <w:pPr>
        <w:spacing w:after="200" w:before="40" w:lineRule="auto"/>
        <w:rPr/>
      </w:pPr>
      <w:r w:rsidDel="00000000" w:rsidR="00000000" w:rsidRPr="00000000">
        <w:rPr>
          <w:i w:val="1"/>
          <w:iCs w:val="1"/>
          <w:color w:val="857e72"/>
          <w:sz w:val="16"/>
          <w:szCs w:val="16"/>
          <w:rtl w:val="0"/>
        </w:rPr>
        <w:t xml:space="preserve">Or, for a proprietary company with a sole director, signed by that sole director (state capacity: sole director and sole company secretary, or sole director where the company has no company secretary).</w:t>
      </w:r>
      <w:r w:rsidDel="00000000" w:rsidR="00000000" w:rsidRPr="00000000">
        <w:rPr>
          <w:rtl w:val="0"/>
        </w:rPr>
      </w:r>
    </w:p>
    <w:sectPr>
      <w:headerReference r:id="rId7" w:type="default"/>
      <w:footerReference r:id="rId8" w:type="default"/>
      <w:pgSz w:h="16838" w:w="11906" w:orient="portrait"/>
      <w:pgMar w:bottom="1300" w:top="1360" w:left="1191" w:right="119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lay">
    <w:embedRegular w:fontKey="{00000000-0000-0000-0000-000000000000}" r:id="rId1" w:subsetted="0"/>
    <w:embedBold w:fontKey="{00000000-0000-0000-0000-000000000000}" r:id="rId2" w:subsetted="0"/>
  </w:font>
  <w:font w:name="Aptos"/>
  <w:font w:name="Poppi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tabs>
        <w:tab w:val="right" w:leader="none" w:pos="9412"/>
      </w:tabs>
      <w:rPr/>
    </w:pPr>
    <w:r w:rsidDel="00000000" w:rsidR="00000000" w:rsidRPr="00000000">
      <w:rPr/>
      <w:drawing>
        <wp:inline distB="0" distT="0" distL="0" distR="0">
          <wp:extent cx="933450" cy="161925"/>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3450" cy="161925"/>
                  </a:xfrm>
                  <a:prstGeom prst="rect"/>
                  <a:ln/>
                </pic:spPr>
              </pic:pic>
            </a:graphicData>
          </a:graphic>
        </wp:inline>
      </w:drawing>
    </w:r>
    <w:r w:rsidDel="00000000" w:rsidR="00000000" w:rsidRPr="00000000">
      <w:rPr>
        <w:color w:val="6b6357"/>
        <w:sz w:val="14"/>
        <w:szCs w:val="14"/>
        <w:rtl w:val="0"/>
      </w:rPr>
      <w:tab/>
      <w:t xml:space="preserve">SOW-2026-001  |  BP Reset V1  |  AI Please and Corveo  |  </w:t>
    </w:r>
    <w:r w:rsidDel="00000000" w:rsidR="00000000" w:rsidRPr="00000000">
      <w:rPr>
        <w:color w:val="6b6357"/>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2a2017"/>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Bdr>
        <w:bottom w:color="e5e2dd" w:space="6" w:sz="4" w:val="single"/>
      </w:pBdr>
      <w:tabs>
        <w:tab w:val="right" w:leader="none" w:pos="9524"/>
      </w:tabs>
      <w:spacing w:after="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a2017"/>
        <w:sz w:val="21"/>
        <w:szCs w:val="21"/>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sz w:val="24"/>
      <w:szCs w:val="24"/>
    </w:rPr>
  </w:style>
  <w:style w:type="paragraph" w:styleId="Heading5">
    <w:name w:val="heading 5"/>
    <w:basedOn w:val="Normal"/>
    <w:next w:val="Normal"/>
    <w:pPr>
      <w:keepNext w:val="1"/>
      <w:keepLines w:val="1"/>
      <w:spacing w:after="40" w:before="80" w:lineRule="auto"/>
    </w:pPr>
    <w:rPr>
      <w:rFonts w:ascii="Aptos" w:cs="Aptos" w:eastAsia="Aptos" w:hAnsi="Aptos"/>
      <w:color w:val="0f4761"/>
      <w:sz w:val="24"/>
      <w:szCs w:val="24"/>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sz w:val="24"/>
      <w:szCs w:val="24"/>
    </w:rPr>
  </w:style>
  <w:style w:type="paragraph" w:styleId="Title">
    <w:name w:val="Title"/>
    <w:basedOn w:val="Normal"/>
    <w:next w:val="Normal"/>
    <w:pPr>
      <w:spacing w:after="80" w:lineRule="auto"/>
    </w:pPr>
    <w:rPr>
      <w:rFonts w:ascii="Play" w:cs="Play" w:eastAsia="Play" w:hAnsi="Play"/>
      <w:color w:val="000000"/>
      <w:sz w:val="56"/>
      <w:szCs w:val="56"/>
    </w:rPr>
  </w:style>
  <w:style w:type="paragraph" w:styleId="Subtitle">
    <w:name w:val="Subtitle"/>
    <w:basedOn w:val="Normal"/>
    <w:next w:val="Normal"/>
    <w:pPr>
      <w:spacing w:after="160" w:lineRule="auto"/>
    </w:pPr>
    <w:rPr>
      <w:rFonts w:ascii="Aptos" w:cs="Aptos" w:eastAsia="Aptos" w:hAnsi="Aptos"/>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Poppins-regular.ttf"/><Relationship Id="rId4" Type="http://schemas.openxmlformats.org/officeDocument/2006/relationships/font" Target="fonts/Poppins-bold.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Poppins-italic.ttf"/><Relationship Id="rId6" Type="http://schemas.openxmlformats.org/officeDocument/2006/relationships/font" Target="fonts/Poppins-boldItalic.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6A71D349-1812-48C9-A73D-C0BD94605CBA</vt:lpwstr>
  </property>
</Properties>
</file>