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line="300"/>
      </w:pPr>
      <w:r>
        <w:rPr>
          <w:rFonts w:ascii="Calibri" w:cs="Calibri" w:eastAsia="Calibri" w:hAnsi="Calibri"/>
          <w:color w:val="1D1D1B"/>
          <w:sz w:val="21"/>
          <w:szCs w:val="21"/>
        </w:rPr>
        <w:t xml:space="preserve">17 October 2026</w:t>
      </w:r>
    </w:p>
    <w:p>
      <w:pPr>
        <w:spacing w:after="140" w:line="300"/>
      </w:pPr>
      <w:r>
        <w:rPr>
          <w:rFonts w:ascii="Calibri" w:cs="Calibri" w:eastAsia="Calibri" w:hAnsi="Calibri"/>
          <w:color w:val="1D1D1B"/>
          <w:sz w:val="21"/>
          <w:szCs w:val="21"/>
        </w:rPr>
        <w:t xml:space="preserve">[Name]</w:t>
      </w:r>
      <w:r>
        <w:rPr>
          <w:rFonts w:ascii="Calibri" w:cs="Calibri" w:eastAsia="Calibri" w:hAnsi="Calibri"/>
          <w:color w:val="1D1D1B"/>
          <w:sz w:val="21"/>
          <w:szCs w:val="21"/>
        </w:rPr>
        <w:br/>
        <w:t xml:space="preserve">Knight Frank LLP</w:t>
      </w:r>
      <w:r>
        <w:rPr>
          <w:rFonts w:ascii="Calibri" w:cs="Calibri" w:eastAsia="Calibri" w:hAnsi="Calibri"/>
          <w:color w:val="1D1D1B"/>
          <w:sz w:val="21"/>
          <w:szCs w:val="21"/>
        </w:rPr>
        <w:br/>
        <w:t xml:space="preserve">55 Baker Street</w:t>
      </w:r>
      <w:r>
        <w:rPr>
          <w:rFonts w:ascii="Calibri" w:cs="Calibri" w:eastAsia="Calibri" w:hAnsi="Calibri"/>
          <w:color w:val="1D1D1B"/>
          <w:sz w:val="21"/>
          <w:szCs w:val="21"/>
        </w:rPr>
        <w:br/>
        <w:t xml:space="preserve">London W1U 8AN</w:t>
      </w:r>
    </w:p>
    <w:p>
      <w:pPr>
        <w:spacing w:after="140" w:line="300"/>
      </w:pPr>
      <w:r>
        <w:rPr>
          <w:rFonts w:ascii="Calibri" w:cs="Calibri" w:eastAsia="Calibri" w:hAnsi="Calibri"/>
          <w:color w:val="7A6E55"/>
          <w:sz w:val="21"/>
          <w:szCs w:val="21"/>
        </w:rPr>
        <w:t xml:space="preserve">By email: [address]</w:t>
      </w:r>
    </w:p>
    <w:p>
      <w:pPr>
        <w:spacing w:after="140" w:line="300"/>
      </w:pPr>
      <w:r>
        <w:rPr>
          <w:rFonts w:ascii="Calibri" w:cs="Calibri" w:eastAsia="Calibri" w:hAnsi="Calibri"/>
          <w:color w:val="1D1D1B"/>
          <w:sz w:val="21"/>
          <w:szCs w:val="21"/>
        </w:rPr>
        <w:t xml:space="preserve">Dear [Name],</w:t>
      </w:r>
    </w:p>
    <w:p>
      <w:pPr>
        <w:spacing w:after="140" w:line="300"/>
      </w:pPr>
      <w:r>
        <w:rPr>
          <w:rFonts w:ascii="Calibri" w:cs="Calibri" w:eastAsia="Calibri" w:hAnsi="Calibri"/>
          <w:b/>
          <w:bCs/>
          <w:color w:val="1D1D1B"/>
          <w:sz w:val="21"/>
          <w:szCs w:val="21"/>
        </w:rPr>
        <w:t xml:space="preserve">Roehampton Sports Ground Estate, Priory Lane and Bank Lane, London SW15 5JQ: offer on behalf of Related</w:t>
      </w:r>
    </w:p>
    <w:p>
      <w:pPr>
        <w:spacing w:after="140" w:line="300"/>
      </w:pPr>
      <w:r>
        <w:rPr>
          <w:rFonts w:ascii="Calibri" w:cs="Calibri" w:eastAsia="Calibri" w:hAnsi="Calibri"/>
          <w:i/>
          <w:iCs/>
          <w:color w:val="7A6E55"/>
          <w:sz w:val="21"/>
          <w:szCs w:val="21"/>
        </w:rPr>
        <w:t xml:space="preserve">Subject to contract and without prejudice</w:t>
      </w:r>
    </w:p>
    <w:p>
      <w:pPr>
        <w:spacing w:after="140" w:line="300"/>
      </w:pPr>
      <w:r>
        <w:rPr>
          <w:rFonts w:ascii="Calibri" w:cs="Calibri" w:eastAsia="Calibri" w:hAnsi="Calibri"/>
          <w:color w:val="1D1D1B"/>
          <w:sz w:val="21"/>
          <w:szCs w:val="21"/>
        </w:rPr>
        <w:t xml:space="preserve">We are instructed by Related, with whom this firm is acting in partnership on the acquisition, to submit the following offer for the freehold interest in the Roehampton Sports Ground Estate as a whole, Lots 1 to 4 as described in your September 2026 brochure, extending to about 38 acres.</w:t>
      </w:r>
    </w:p>
    <w:p>
      <w:pPr>
        <w:pStyle w:val="Heading2"/>
        <w:spacing w:after="100" w:before="260"/>
      </w:pPr>
      <w:r>
        <w:rPr>
          <w:rFonts w:ascii="Calibri" w:cs="Calibri" w:eastAsia="Calibri" w:hAnsi="Calibri"/>
          <w:b/>
          <w:bCs/>
          <w:color w:val="6E0C25"/>
          <w:sz w:val="24"/>
          <w:szCs w:val="24"/>
        </w:rPr>
        <w:t xml:space="preserve">The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Purchaser</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A joint venture of Related and Bruce Gillingham Pollard's client interests [entity to be confirmed], or a nominee special purpose vehicle.</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Price</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£[20,000,000] (twenty million pounds) for the whole estate, exclusive of VAT, subject to the conditions below.</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Interest</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The freehold, subject to and with the benefit of the Lawn Tennis Association's lease of the National Tennis Centre to 2129, the leases of the electricity sub-station and transformer chamber, and the All England Lawn Tennis Ground plc's 2021 lease of the Sports Centre and Grounds on the basis set out below. The Grange to be delivered with vacant possession on 1 January 2027, the ITF leases having expired.</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Deposit</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10 per cent on exchange.</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Timetable</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Exchange within [six] weeks of agreed heads of terms and receipt of a complete data room, with completion [20 working days] after exchange or on 4 January 2027 if later, so that The Grange is vacant on completion.</w:t>
            </w:r>
          </w:p>
        </w:tc>
      </w:tr>
    </w:tbl>
    <w:p>
      <w:pPr>
        <w:pStyle w:val="Heading2"/>
        <w:spacing w:after="100" w:before="260"/>
      </w:pPr>
      <w:r>
        <w:rPr>
          <w:rFonts w:ascii="Calibri" w:cs="Calibri" w:eastAsia="Calibri" w:hAnsi="Calibri"/>
          <w:b/>
          <w:bCs/>
          <w:color w:val="6E0C25"/>
          <w:sz w:val="24"/>
          <w:szCs w:val="24"/>
        </w:rPr>
        <w:t xml:space="preserve">Basis of the offer and conditions</w:t>
      </w:r>
    </w:p>
    <w:p>
      <w:pPr>
        <w:pStyle w:val="ListParagraph"/>
        <w:numPr>
          <w:ilvl w:val="0"/>
          <w:numId w:val="2"/>
        </w:numPr>
        <w:spacing w:after="80" w:line="290"/>
      </w:pPr>
      <w:r>
        <w:rPr>
          <w:rFonts w:ascii="Calibri" w:cs="Calibri" w:eastAsia="Calibri" w:hAnsi="Calibri"/>
          <w:color w:val="1D1D1B"/>
          <w:sz w:val="21"/>
          <w:szCs w:val="21"/>
        </w:rPr>
        <w:t xml:space="preserve">The offer assumes the All England Club will surrender its 2021 lease and take a new 10-year lease of the playing fields at £100,000 a year, on the terms we are putting to the Club in parallel, with the surrender and regrant completing on the same day as the purchase. Exchange is conditional on that surrender and regrant being agreed in a form satisfactory to the purchaser. We would welcome the Bank's and your help in opening that conversation with the Club.</w:t>
      </w:r>
    </w:p>
    <w:p>
      <w:pPr>
        <w:pStyle w:val="ListParagraph"/>
        <w:numPr>
          <w:ilvl w:val="0"/>
          <w:numId w:val="2"/>
        </w:numPr>
        <w:spacing w:after="80" w:line="290"/>
      </w:pPr>
      <w:r>
        <w:rPr>
          <w:rFonts w:ascii="Calibri" w:cs="Calibri" w:eastAsia="Calibri" w:hAnsi="Calibri"/>
          <w:color w:val="1D1D1B"/>
          <w:sz w:val="21"/>
          <w:szCs w:val="21"/>
        </w:rPr>
        <w:t xml:space="preserve">The purchaser intends to let the Sports Club and Pavilion to a health club operator on a 20-year lease completing on the day of purchase, and has agreed heads of terms in principle; exchange is conditional on an agreement for lease being exchanged simultaneously or on terms the purchaser is satisfied with.</w:t>
      </w:r>
    </w:p>
    <w:p>
      <w:pPr>
        <w:pStyle w:val="ListParagraph"/>
        <w:numPr>
          <w:ilvl w:val="0"/>
          <w:numId w:val="2"/>
        </w:numPr>
        <w:spacing w:after="80" w:line="290"/>
      </w:pPr>
      <w:r>
        <w:rPr>
          <w:rFonts w:ascii="Calibri" w:cs="Calibri" w:eastAsia="Calibri" w:hAnsi="Calibri"/>
          <w:color w:val="1D1D1B"/>
          <w:sz w:val="21"/>
          <w:szCs w:val="21"/>
        </w:rPr>
        <w:t xml:space="preserve">The Grange and the cottages are to be redeveloped as residential by the partnership, The Grange under Class MA, with Related leading the residential underwrite; the whole estate is to be held and sold as one lot. We understand the Bank is submitting the prior approval application; exchange is conditional on prior approval having been granted, or the purchaser being satisfied with the application and its timetable.</w:t>
      </w:r>
    </w:p>
    <w:p>
      <w:pPr>
        <w:pStyle w:val="ListParagraph"/>
        <w:numPr>
          <w:ilvl w:val="0"/>
          <w:numId w:val="2"/>
        </w:numPr>
        <w:spacing w:after="80" w:line="290"/>
      </w:pPr>
      <w:r>
        <w:rPr>
          <w:rFonts w:ascii="Calibri" w:cs="Calibri" w:eastAsia="Calibri" w:hAnsi="Calibri"/>
          <w:color w:val="1D1D1B"/>
          <w:sz w:val="21"/>
          <w:szCs w:val="21"/>
        </w:rPr>
        <w:t xml:space="preserve">The offer is otherwise subject to satisfactory title, searches, replies to enquiries, environmental and building survey, and confirmation that the 2019 Asset of Community Value listing of the playing fields has expired and that no new nomination is pending.</w:t>
      </w:r>
    </w:p>
    <w:p>
      <w:pPr>
        <w:pStyle w:val="ListParagraph"/>
        <w:numPr>
          <w:ilvl w:val="0"/>
          <w:numId w:val="2"/>
        </w:numPr>
        <w:spacing w:after="80" w:line="290"/>
      </w:pPr>
      <w:r>
        <w:rPr>
          <w:rFonts w:ascii="Calibri" w:cs="Calibri" w:eastAsia="Calibri" w:hAnsi="Calibri"/>
          <w:color w:val="1D1D1B"/>
          <w:sz w:val="21"/>
          <w:szCs w:val="21"/>
        </w:rPr>
        <w:t xml:space="preserve">No planning permission is sought or assumed for anything other than the Grange prior approval. The leisure buildings keep their existing use; both Bank Lane gates and all parking are existing.</w:t>
      </w:r>
    </w:p>
    <w:p>
      <w:pPr>
        <w:pStyle w:val="Heading2"/>
        <w:spacing w:after="100" w:before="260"/>
      </w:pPr>
      <w:r>
        <w:rPr>
          <w:rFonts w:ascii="Calibri" w:cs="Calibri" w:eastAsia="Calibri" w:hAnsi="Calibri"/>
          <w:b/>
          <w:bCs/>
          <w:color w:val="6E0C25"/>
          <w:sz w:val="24"/>
          <w:szCs w:val="24"/>
        </w:rPr>
        <w:t xml:space="preserve">Funding and track record</w:t>
      </w:r>
    </w:p>
    <w:p>
      <w:pPr>
        <w:spacing w:after="140" w:line="300"/>
      </w:pPr>
      <w:r>
        <w:rPr>
          <w:rFonts w:ascii="Calibri" w:cs="Calibri" w:eastAsia="Calibri" w:hAnsi="Calibri"/>
          <w:color w:val="1D1D1B"/>
          <w:sz w:val="21"/>
          <w:szCs w:val="21"/>
        </w:rPr>
        <w:t xml:space="preserve">The purchaser will fund the acquisition from partnership equity and senior debt from Related's existing relationship lenders; proof of funds will be provided on request. Related is [one or two sentences on Related's London residential and mixed-use record, to be inserted].</w:t>
      </w:r>
    </w:p>
    <w:p>
      <w:pPr>
        <w:pStyle w:val="Heading2"/>
        <w:spacing w:after="100" w:before="260"/>
      </w:pPr>
      <w:r>
        <w:rPr>
          <w:rFonts w:ascii="Calibri" w:cs="Calibri" w:eastAsia="Calibri" w:hAnsi="Calibri"/>
          <w:b/>
          <w:bCs/>
          <w:color w:val="6E0C25"/>
          <w:sz w:val="24"/>
          <w:szCs w:val="24"/>
        </w:rPr>
        <w:t xml:space="preserve">Process</w:t>
      </w:r>
    </w:p>
    <w:p>
      <w:pPr>
        <w:spacing w:after="140" w:line="300"/>
      </w:pPr>
      <w:r>
        <w:rPr>
          <w:rFonts w:ascii="Calibri" w:cs="Calibri" w:eastAsia="Calibri" w:hAnsi="Calibri"/>
          <w:color w:val="1D1D1B"/>
          <w:sz w:val="21"/>
          <w:szCs w:val="21"/>
        </w:rPr>
        <w:t xml:space="preserve">We would be grateful for confirmation that this offer will be put to the Bank, and for a period of exclusivity of [six] weeks from acceptance in which to agree the surrender and regrant, exchange the agreement for lease and complete due diligence. Our client is ready to meet the Bank and the Club at short notice.</w:t>
      </w:r>
    </w:p>
    <w:p>
      <w:pPr>
        <w:spacing w:after="140" w:line="300"/>
      </w:pPr>
      <w:r>
        <w:rPr>
          <w:rFonts w:ascii="Calibri" w:cs="Calibri" w:eastAsia="Calibri" w:hAnsi="Calibri"/>
          <w:color w:val="1D1D1B"/>
          <w:sz w:val="21"/>
          <w:szCs w:val="21"/>
        </w:rPr>
        <w:t xml:space="preserve">This letter is written subject to contract and does not create any legally binding obligation on Related or on this firm. Our client reserves the right to withdraw or vary this offer at any time before exchange of contracts.</w:t>
      </w:r>
    </w:p>
    <w:p>
      <w:pPr>
        <w:spacing w:after="140" w:line="300"/>
      </w:pPr>
      <w:r>
        <w:rPr>
          <w:rFonts w:ascii="Calibri" w:cs="Calibri" w:eastAsia="Calibri" w:hAnsi="Calibri"/>
          <w:color w:val="1D1D1B"/>
          <w:sz w:val="21"/>
          <w:szCs w:val="21"/>
        </w:rPr>
        <w:t xml:space="preserve">We look forward to hearing from you.</w:t>
      </w:r>
    </w:p>
    <w:p>
      <w:pPr>
        <w:spacing w:after="140" w:line="300"/>
      </w:pPr>
      <w:r>
        <w:rPr>
          <w:rFonts w:ascii="Calibri" w:cs="Calibri" w:eastAsia="Calibri" w:hAnsi="Calibri"/>
          <w:color w:val="1D1D1B"/>
          <w:sz w:val="21"/>
          <w:szCs w:val="21"/>
        </w:rPr>
        <w:t xml:space="preserve">Yours sincerely,</w:t>
      </w:r>
    </w:p>
    <w:p>
      <w:pPr>
        <w:spacing w:after="140" w:line="300"/>
      </w:pPr>
      <w:r>
        <w:rPr>
          <w:rFonts w:ascii="Calibri" w:cs="Calibri" w:eastAsia="Calibri" w:hAnsi="Calibri"/>
          <w:color w:val="1D1D1B"/>
          <w:sz w:val="21"/>
          <w:szCs w:val="21"/>
        </w:rPr>
        <w:t xml:space="preserve"/>
      </w:r>
    </w:p>
    <w:p>
      <w:pPr>
        <w:spacing w:after="140" w:line="300"/>
      </w:pPr>
      <w:r>
        <w:rPr>
          <w:rFonts w:ascii="Calibri" w:cs="Calibri" w:eastAsia="Calibri" w:hAnsi="Calibri"/>
          <w:color w:val="1D1D1B"/>
          <w:sz w:val="21"/>
          <w:szCs w:val="21"/>
        </w:rPr>
        <w:t xml:space="preserve"/>
      </w:r>
    </w:p>
    <w:p>
      <w:pPr>
        <w:spacing w:after="140" w:line="300"/>
      </w:pPr>
      <w:r>
        <w:rPr>
          <w:rFonts w:ascii="Calibri" w:cs="Calibri" w:eastAsia="Calibri" w:hAnsi="Calibri"/>
          <w:b/>
          <w:bCs/>
          <w:color w:val="1D1D1B"/>
          <w:sz w:val="21"/>
          <w:szCs w:val="21"/>
        </w:rPr>
        <w:t xml:space="preserve">Woody Bruce</w:t>
      </w:r>
    </w:p>
    <w:p>
      <w:pPr>
        <w:spacing w:after="140" w:line="300"/>
      </w:pPr>
      <w:r>
        <w:rPr>
          <w:rFonts w:ascii="Calibri" w:cs="Calibri" w:eastAsia="Calibri" w:hAnsi="Calibri"/>
          <w:color w:val="7A6E55"/>
          <w:sz w:val="21"/>
          <w:szCs w:val="21"/>
        </w:rPr>
        <w:t xml:space="preserve">Bruce Gillingham Pollard</w:t>
      </w:r>
      <w:r>
        <w:rPr>
          <w:rFonts w:ascii="Calibri" w:cs="Calibri" w:eastAsia="Calibri" w:hAnsi="Calibri"/>
          <w:color w:val="7A6E55"/>
          <w:sz w:val="19"/>
          <w:szCs w:val="19"/>
        </w:rPr>
        <w:br/>
        <w:t xml:space="preserve">woody@brucegillinghampollard.com  ·  020 3551 5260</w:t>
      </w:r>
    </w:p>
    <w:p>
      <w:pPr>
        <w:spacing w:after="140" w:line="300"/>
      </w:pPr>
      <w:r>
        <w:rPr>
          <w:rFonts w:ascii="Calibri" w:cs="Calibri" w:eastAsia="Calibri" w:hAnsi="Calibri"/>
          <w:color w:val="7A6E55"/>
          <w:sz w:val="21"/>
          <w:szCs w:val="21"/>
        </w:rPr>
        <w:t xml:space="preserve">cc: Related</w:t>
      </w:r>
    </w:p>
    <w:sectPr>
      <w:headerReference w:type="default" r:id="rId7"/>
      <w:footerReference w:type="default" r:id="rId8"/>
      <w:pgSz w:w="11906" w:h="16838" w:orient="portrait"/>
      <w:pgMar w:top="17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FC9" w:sz="4" w:space="6"/>
      </w:pBdr>
      <w:tabs>
        <w:tab w:val="right" w:pos="9360"/>
      </w:tabs>
    </w:pPr>
    <w:r>
      <w:rPr>
        <w:rFonts w:ascii="Calibri" w:cs="Calibri" w:eastAsia="Calibri" w:hAnsi="Calibri"/>
        <w:color w:val="7A6E55"/>
        <w:sz w:val="16"/>
        <w:szCs w:val="16"/>
      </w:rPr>
      <w:t xml:space="preserve">Bruce Gillingham Pollard · Offer letter · Roehampton Sports Ground Estate · Subject to contract</w:t>
    </w:r>
    <w:r>
      <w:rPr>
        <w:rFonts w:ascii="Calibri" w:cs="Calibri" w:eastAsia="Calibri" w:hAnsi="Calibri"/>
        <w:color w:val="7A6E55"/>
        <w:sz w:val="16"/>
        <w:szCs w:val="16"/>
      </w:rPr>
      <w:t xml:space="preserve">	Page </w:t>
    </w:r>
    <w:r>
      <w:rPr>
        <w:rFonts w:ascii="Calibri" w:cs="Calibri" w:eastAsia="Calibri" w:hAnsi="Calibri"/>
        <w:color w:val="7A6E55"/>
        <w:sz w:val="16"/>
        <w:szCs w:val="16"/>
      </w:rPr>
      <w:fldChar w:fldCharType="begin"/>
      <w:instrText xml:space="preserve">PAGE</w:instrText>
      <w:fldChar w:fldCharType="separate"/>
      <w:fldChar w:fldCharType="end"/>
    </w:r>
    <w:r>
      <w:rPr>
        <w:rFonts w:ascii="Calibri" w:cs="Calibri" w:eastAsia="Calibri" w:hAnsi="Calibri"/>
        <w:color w:val="7A6E55"/>
        <w:sz w:val="16"/>
        <w:szCs w:val="16"/>
      </w:rPr>
      <w:t xml:space="preserve"> of </w:t>
    </w:r>
    <w:r>
      <w:rPr>
        <w:rFonts w:ascii="Calibri" w:cs="Calibri" w:eastAsia="Calibri" w:hAnsi="Calibri"/>
        <w:color w:val="7A6E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C9" w:sz="4" w:space="6"/>
      </w:pBdr>
      <w:tabs>
        <w:tab w:val="right" w:pos="9360"/>
      </w:tabs>
      <w:spacing w:after="120"/>
    </w:pPr>
    <w:r>
      <w:drawing>
        <wp:inline distT="0" distB="0" distL="0" distR="0">
          <wp:extent cx="10668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419100"/>
                  </a:xfrm>
                  <a:prstGeom prst="rect">
                    <a:avLst/>
                  </a:prstGeom>
                </pic:spPr>
              </pic:pic>
            </a:graphicData>
          </a:graphic>
        </wp:inline>
      </w:drawing>
    </w:r>
    <w:r>
      <w:rPr>
        <w:rFonts w:ascii="Calibri" w:cs="Calibri" w:eastAsia="Calibri" w:hAnsi="Calibri"/>
        <w:color w:val="7A6E55"/>
        <w:sz w:val="17"/>
        <w:szCs w:val="17"/>
      </w:rPr>
      <w:t xml:space="preserve">	First Floor, 55 Wells Street, London W1T 3PT</w:t>
    </w:r>
    <w:r>
      <w:rPr>
        <w:rFonts w:ascii="Calibri" w:cs="Calibri" w:eastAsia="Calibri" w:hAnsi="Calibri"/>
        <w:sz w:val="17"/>
        <w:szCs w:val="17"/>
      </w:rPr>
      <w:t xml:space="preserve">	</w:t>
    </w:r>
  </w:p>
  <w:p>
    <w:pPr>
      <w:spacing w:after="0"/>
      <w:jc w:val="right"/>
    </w:pPr>
    <w:r>
      <w:rPr>
        <w:rFonts w:ascii="Calibri" w:cs="Calibri" w:eastAsia="Calibri" w:hAnsi="Calibri"/>
        <w:color w:val="7A6E55"/>
        <w:sz w:val="17"/>
        <w:szCs w:val="17"/>
      </w:rPr>
      <w:t xml:space="preserve">020 3551 5260  ·  brucegillinghampollard.com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6E0C25"/>
      </w:r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1D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a91e5796db8d528e6d6e011ee2103684fd9de2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2026-10-17T17:37:15.472Z</dcterms:created>
  <dcterms:modified xsi:type="dcterms:W3CDTF">2026-10-17T17:37:15.472Z</dcterms:modified>
</cp:coreProperties>
</file>

<file path=docProps/custom.xml><?xml version="1.0" encoding="utf-8"?>
<Properties xmlns="http://schemas.openxmlformats.org/officeDocument/2006/custom-properties" xmlns:vt="http://schemas.openxmlformats.org/officeDocument/2006/docPropsVTypes"/>
</file>