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Sports Centre and Grounds granted by the Bank of England in June 2021; the lease plan excludes The Grange and the main car park.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which completes on the day the purchaser buys the estate, target January 2027,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on the day the purchase completes, each side bearing its own costs, with the new lease granted the same day;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The plan</w:t>
      </w:r>
    </w:p>
    <w:p>
      <w:pPr>
        <w:spacing w:after="140" w:line="300"/>
      </w:pPr>
      <w:r>
        <w:rPr>
          <w:rFonts w:ascii="Calibri" w:cs="Calibri" w:eastAsia="Calibri" w:hAnsi="Calibri"/>
          <w:color w:val="1D1D1B"/>
          <w:sz w:val="21"/>
          <w:szCs w:val="21"/>
        </w:rPr>
        <w:t xml:space="preserve">The plan below is the Club's 2021 lease plan from the data room registered onto the 2019 topographic survey. The new demise is in green, about 8.1 hectares against the 10.6 hectares surrendered: the playing fields and grass courts, the temporary pavilion and the Squash Courts. What comes out is the Sports Club, the permanent Pavilion and the 2G pitch, in bordeaux, together with the land around them and the strip along the eastern boundary, so that the Club's demise is the fields and nothing around the leisure buildings. The side column repeats the annual cycle in section 4.</w:t>
      </w:r>
    </w:p>
    <w:p>
      <w:pPr>
        <w:spacing w:after="160"/>
      </w:pPr>
      <w:r>
        <w:drawing>
          <wp:inline distT="0" distB="0" distL="0" distR="0">
            <wp:extent cx="59055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381625"/>
                    </a:xfrm>
                    <a:prstGeom prst="rect">
                      <a:avLst/>
                    </a:prstGeom>
                  </pic:spPr>
                </pic:pic>
              </a:graphicData>
            </a:graphic>
          </wp:inline>
        </w:drawing>
      </w:r>
    </w:p>
    <w:p>
      <w:pPr>
        <w:pStyle w:val="Heading2"/>
        <w:spacing w:after="100" w:before="260"/>
      </w:pPr>
      <w:r>
        <w:rPr>
          <w:rFonts w:ascii="Calibri" w:cs="Calibri" w:eastAsia="Calibri" w:hAnsi="Calibri"/>
          <w:b/>
          <w:bCs/>
          <w:color w:val="6E0C25"/>
          <w:sz w:val="24"/>
          <w:szCs w:val="24"/>
        </w:rPr>
        <w:t xml:space="preserve">6. How the site is serviced for the Qualifying</w:t>
      </w:r>
    </w:p>
    <w:p>
      <w:pPr>
        <w:pStyle w:val="ListParagraph"/>
        <w:numPr>
          <w:ilvl w:val="0"/>
          <w:numId w:val="2"/>
        </w:numPr>
        <w:spacing w:after="80" w:line="290"/>
      </w:pPr>
      <w:r>
        <w:rPr>
          <w:rFonts w:ascii="Calibri" w:cs="Calibri" w:eastAsia="Calibri" w:hAnsi="Calibri"/>
          <w:color w:val="1D1D1B"/>
          <w:sz w:val="21"/>
          <w:szCs w:val="21"/>
        </w:rPr>
        <w:t xml:space="preserve">Courts and play: the grass courts in the north-west strip (1 to 30 on the 2021 plan) and the main fields for the show court, temporary stands and practice, as now. Nothing in the Third Space demise is needed for play.</w:t>
      </w:r>
    </w:p>
    <w:p>
      <w:pPr>
        <w:pStyle w:val="ListParagraph"/>
        <w:numPr>
          <w:ilvl w:val="0"/>
          <w:numId w:val="2"/>
        </w:numPr>
        <w:spacing w:after="80" w:line="290"/>
      </w:pPr>
      <w:r>
        <w:rPr>
          <w:rFonts w:ascii="Calibri" w:cs="Calibri" w:eastAsia="Calibri" w:hAnsi="Calibri"/>
          <w:color w:val="1D1D1B"/>
          <w:sz w:val="21"/>
          <w:szCs w:val="21"/>
        </w:rPr>
        <w:t xml:space="preserve">Players and officials: the temporary pavilion at the north end of the Pavilion (4,778 sq ft) and the Squash Courts (3,233 sq ft over two floors, the first floor for officials), both inside the Club's new lease, with cabins on the fields within the consent.</w:t>
      </w:r>
    </w:p>
    <w:p>
      <w:pPr>
        <w:pStyle w:val="ListParagraph"/>
        <w:numPr>
          <w:ilvl w:val="0"/>
          <w:numId w:val="2"/>
        </w:numPr>
        <w:spacing w:after="80" w:line="290"/>
      </w:pPr>
      <w:r>
        <w:rPr>
          <w:rFonts w:ascii="Calibri" w:cs="Calibri" w:eastAsia="Calibri" w:hAnsi="Calibri"/>
          <w:color w:val="1D1D1B"/>
          <w:sz w:val="21"/>
          <w:szCs w:val="21"/>
        </w:rPr>
        <w:t xml:space="preserve">Hospitality and media: the Pavilion function hall, bars and roof terrace under the annual option from Third Space, booked by 1 March; otherwise marquees on the fields as consented.</w:t>
      </w:r>
    </w:p>
    <w:p>
      <w:pPr>
        <w:pStyle w:val="ListParagraph"/>
        <w:numPr>
          <w:ilvl w:val="0"/>
          <w:numId w:val="2"/>
        </w:numPr>
        <w:spacing w:after="80" w:line="290"/>
      </w:pPr>
      <w:r>
        <w:rPr>
          <w:rFonts w:ascii="Calibri" w:cs="Calibri" w:eastAsia="Calibri" w:hAnsi="Calibri"/>
          <w:color w:val="1D1D1B"/>
          <w:sz w:val="21"/>
          <w:szCs w:val="21"/>
        </w:rPr>
        <w:t xml:space="preserve">Access: event vehicles, the build and spectators through Gate 1, the Bank Lane barrier, under the traffic plan, with the drive past The Grange and the road west of it to the fields; Third Space's members keep Gate 2 and car park A and are not affected.</w:t>
      </w:r>
    </w:p>
    <w:p>
      <w:pPr>
        <w:pStyle w:val="ListParagraph"/>
        <w:numPr>
          <w:ilvl w:val="0"/>
          <w:numId w:val="2"/>
        </w:numPr>
        <w:spacing w:after="80" w:line="290"/>
      </w:pPr>
      <w:r>
        <w:rPr>
          <w:rFonts w:ascii="Calibri" w:cs="Calibri" w:eastAsia="Calibri" w:hAnsi="Calibri"/>
          <w:color w:val="1D1D1B"/>
          <w:sz w:val="21"/>
          <w:szCs w:val="21"/>
        </w:rPr>
        <w:t xml:space="preserve">Parking: event parking on the western playing field as now, with up to 30 bays in car park A by arrangement with Third Space. Car park A was never in the Club's 2021 lease, so nothing changes there on the surrender.</w:t>
      </w:r>
    </w:p>
    <w:p>
      <w:pPr>
        <w:pStyle w:val="ListParagraph"/>
        <w:numPr>
          <w:ilvl w:val="0"/>
          <w:numId w:val="2"/>
        </w:numPr>
        <w:spacing w:after="80" w:line="290"/>
      </w:pPr>
      <w:r>
        <w:rPr>
          <w:rFonts w:ascii="Calibri" w:cs="Calibri" w:eastAsia="Calibri" w:hAnsi="Calibri"/>
          <w:color w:val="1D1D1B"/>
          <w:sz w:val="21"/>
          <w:szCs w:val="21"/>
        </w:rPr>
        <w:t xml:space="preserve">Services and welfare: the Club's existing cabins, toilets and power on the fields within the 2025 consent; water and power connections at the temporary pavilion kept on the surrender.</w:t>
      </w:r>
    </w:p>
    <w:p>
      <w:pPr>
        <w:pStyle w:val="ListParagraph"/>
        <w:numPr>
          <w:ilvl w:val="0"/>
          <w:numId w:val="2"/>
        </w:numPr>
        <w:spacing w:after="80" w:line="290"/>
      </w:pPr>
      <w:r>
        <w:rPr>
          <w:rFonts w:ascii="Calibri" w:cs="Calibri" w:eastAsia="Calibri" w:hAnsi="Calibri"/>
          <w:color w:val="1D1D1B"/>
          <w:sz w:val="21"/>
          <w:szCs w:val="21"/>
        </w:rPr>
        <w:t xml:space="preserve">Community sport: hard courts, grass practice courts and pitches outside the Qualifying period, booked as now.</w:t>
      </w:r>
    </w:p>
    <w:p>
      <w:pPr>
        <w:pStyle w:val="Heading2"/>
        <w:spacing w:after="100" w:before="260"/>
      </w:pPr>
      <w:r>
        <w:rPr>
          <w:rFonts w:ascii="Calibri" w:cs="Calibri" w:eastAsia="Calibri" w:hAnsi="Calibri"/>
          <w:b/>
          <w:bCs/>
          <w:color w:val="6E0C25"/>
          <w:sz w:val="24"/>
          <w:szCs w:val="24"/>
        </w:rPr>
        <w:t xml:space="preserve">7.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375a99b8bd595c55af79a654a0e01109b7922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2026-10-19T10:18:41.358Z</dcterms:created>
  <dcterms:modified xsi:type="dcterms:W3CDTF">2026-10-19T10:18:41.358Z</dcterms:modified>
</cp:coreProperties>
</file>

<file path=docProps/custom.xml><?xml version="1.0" encoding="utf-8"?>
<Properties xmlns="http://schemas.openxmlformats.org/officeDocument/2006/custom-properties" xmlns:vt="http://schemas.openxmlformats.org/officeDocument/2006/docPropsVTypes"/>
</file>