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6E55"/>
          <w:spacing w:val="40"/>
          <w:sz w:val="17"/>
          <w:szCs w:val="17"/>
        </w:rPr>
        <w:t xml:space="preserve">DRAFT FOR DISCUSSION · SUBJECT TO CONTRACT · WITHOUT PREJUDICE</w:t>
      </w:r>
    </w:p>
    <w:p>
      <w:pPr>
        <w:pStyle w:val="Heading1"/>
        <w:spacing w:after="160" w:before="320"/>
      </w:pPr>
      <w:r>
        <w:rPr>
          <w:rFonts w:ascii="Georgia" w:cs="Georgia" w:eastAsia="Georgia" w:hAnsi="Georgia"/>
          <w:b w:val="false"/>
          <w:bCs w:val="false"/>
          <w:color w:val="6E0C25"/>
          <w:sz w:val="34"/>
          <w:szCs w:val="34"/>
        </w:rPr>
        <w:t xml:space="preserve">Heads of Terms: lease of the Sports Club, Pavilion and astro pitch, Roehampton Sports Ground Estate, SW15 5JQ</w:t>
      </w:r>
    </w:p>
    <w:p>
      <w:pPr>
        <w:spacing w:after="140" w:line="300"/>
      </w:pPr>
      <w:r>
        <w:rPr>
          <w:rFonts w:ascii="Calibri" w:cs="Calibri" w:eastAsia="Calibri" w:hAnsi="Calibri"/>
          <w:color w:val="1D1D1B"/>
          <w:sz w:val="21"/>
          <w:szCs w:val="21"/>
        </w:rPr>
        <w:t xml:space="preserve">Proposed letting to Third Space. Prepared by Bruce Gillingham Pollard on behalf of the prospective purchaser of the estate. </w:t>
      </w:r>
      <w:r>
        <w:rPr>
          <w:rFonts w:ascii="Calibri" w:cs="Calibri" w:eastAsia="Calibri" w:hAnsi="Calibri"/>
          <w:color w:val="7A6E55"/>
          <w:sz w:val="21"/>
          <w:szCs w:val="21"/>
        </w:rPr>
        <w:t xml:space="preserve">17 October 2026.</w:t>
      </w:r>
    </w:p>
    <w:p>
      <w:pPr>
        <w:pBdr>
          <w:bottom w:val="single" w:color="6E0C25" w:sz="6" w:space="1"/>
        </w:pBdr>
        <w:spacing w:after="200"/>
      </w:pPr>
    </w:p>
    <w:p>
      <w:pPr>
        <w:pStyle w:val="Heading2"/>
        <w:spacing w:after="100" w:before="260"/>
      </w:pPr>
      <w:r>
        <w:rPr>
          <w:rFonts w:ascii="Calibri" w:cs="Calibri" w:eastAsia="Calibri" w:hAnsi="Calibri"/>
          <w:b/>
          <w:bCs/>
          <w:color w:val="6E0C25"/>
          <w:sz w:val="24"/>
          <w:szCs w:val="24"/>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Landlord</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[Related entity to be confirmed], as purchaser of the freehold of the Roehampton Sports Ground Estate from the Governor and Company of the Bank of England. Landlord's agent: Bruce Gillingham Pollard, First Floor, 55 Wells Street, London W1T 3PT (Woody Bruce).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Tenant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Third Space [legal entity to be confirmed], with a guarantee or rent deposit as set out below.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Status of these terms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Non-binding, subject to contract and to the Landlord completing its purchase of the estate and the surrender and regrant with the All England Lawn Tennis Ground plc described in section 9.</w:t>
            </w:r>
          </w:p>
        </w:tc>
      </w:tr>
    </w:tbl>
    <w:p>
      <w:pPr>
        <w:pStyle w:val="Heading2"/>
        <w:spacing w:after="100" w:before="260"/>
      </w:pPr>
      <w:r>
        <w:rPr>
          <w:rFonts w:ascii="Calibri" w:cs="Calibri" w:eastAsia="Calibri" w:hAnsi="Calibri"/>
          <w:b/>
          <w:bCs/>
          <w:color w:val="6E0C25"/>
          <w:sz w:val="24"/>
          <w:szCs w:val="24"/>
        </w:rPr>
        <w:t xml:space="preserve">2. The premises</w:t>
      </w:r>
    </w:p>
    <w:p>
      <w:pPr>
        <w:spacing w:after="140" w:line="300"/>
      </w:pPr>
      <w:r>
        <w:rPr>
          <w:rFonts w:ascii="Calibri" w:cs="Calibri" w:eastAsia="Calibri" w:hAnsi="Calibri"/>
          <w:color w:val="1D1D1B"/>
          <w:sz w:val="21"/>
          <w:szCs w:val="21"/>
        </w:rPr>
        <w:t xml:space="preserve">The demise is shown edged bordeaux on the demise plan (data room, analysis/demise-plan.png) and comprises: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60"/>
        <w:gridCol w:w="1600"/>
      </w:tblGrid>
      <w:tr>
        <w:trPr>
          <w:tblHeader/>
        </w:trPr>
        <w:tc>
          <w:tcPr>
            <w:tcW w:type="dxa" w:w="17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Element</w:t>
            </w:r>
          </w:p>
        </w:tc>
        <w:tc>
          <w:tcPr>
            <w:tcW w:type="dxa" w:w="606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Description</w:t>
            </w:r>
          </w:p>
        </w:tc>
        <w:tc>
          <w:tcPr>
            <w:tcW w:type="dxa" w:w="16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GIA sq ft</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Sports Club</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pool and sports hall building on basement, ground, first and second floors, including the spa, steam and sauna suite, studios, changing and the 2007 extension. West entrance with canopy and ramps (2004/2604, 2007/3262).</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32,377</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Pavilion</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1920s clubhouse, whole permanent building on basement, ground, first floor and roof terrace: function hall, bars and kitchens, first-floor lounge, changing rooms and offices. Excludes the long-standing temporary pavilion and its link and porch at the north end, which remain with the All England Club.</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27,765</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External areas</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One parcel with the buildings: the garden, terrace and forecourt on the west side of the Pavilion to the edge of the playing fields, the approach from the Pavilion to the Sports Club west entrance, the grounds east and south of the Sports Club to the Tennis Centre fence and the eastern boundary running down to the pitch, and the arrival area on the car park side of the Sports Club, between the squash courts and the pitch down to the first car park bays, for landscaping, planting and a sense of arrival. The Tenant controls its own frontage, its outdoor space and the route between its two buildings.</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 1.6 ha in all with the buildings and pitch</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2G astro pitch</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fenced artificial pitch east of the main car park, about 98 m by 61 m, together with a 5 m strip around the fence for seating, run-off and access. No additional rent.</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 7,610 sq m with strip</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Total GIA</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Measured from the Principal Plans GIA drawings (September 2019); building totals agree with Knight Frank's area schedule. Squash Courts (3,233 sq ft) are excluded.</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60,142</w:t>
            </w:r>
          </w:p>
        </w:tc>
      </w:tr>
    </w:tbl>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color w:val="1D1D1B"/>
          <w:sz w:val="21"/>
          <w:szCs w:val="21"/>
        </w:rPr>
        <w:t xml:space="preserve">The two buildings sit inside one demise line drawn two metres off their walls; the land east of the buildings is within the Lawn Tennis Association's lease of the National Tennis Centre and is not available. Areas to be confirmed by measured survey before the agreement for lease.</w:t>
      </w:r>
    </w:p>
    <w:p>
      <w:pPr>
        <w:pStyle w:val="Heading2"/>
        <w:spacing w:after="100" w:before="260"/>
      </w:pPr>
      <w:r>
        <w:rPr>
          <w:rFonts w:ascii="Calibri" w:cs="Calibri" w:eastAsia="Calibri" w:hAnsi="Calibri"/>
          <w:b/>
          <w:bCs/>
          <w:color w:val="6E0C25"/>
          <w:sz w:val="24"/>
          <w:szCs w:val="24"/>
        </w:rPr>
        <w:t xml:space="preserve">3. Rights granted</w:t>
      </w:r>
    </w:p>
    <w:p>
      <w:pPr>
        <w:pStyle w:val="ListParagraph"/>
        <w:numPr>
          <w:ilvl w:val="0"/>
          <w:numId w:val="2"/>
        </w:numPr>
        <w:spacing w:after="80" w:line="290"/>
      </w:pPr>
      <w:r>
        <w:rPr>
          <w:rFonts w:ascii="Calibri" w:cs="Calibri" w:eastAsia="Calibri" w:hAnsi="Calibri"/>
          <w:color w:val="1D1D1B"/>
          <w:sz w:val="21"/>
          <w:szCs w:val="21"/>
        </w:rPr>
        <w:t xml:space="preserve">Parking: the exclusive right to 150 spaces, allocated within the 162 marked bays of car park A south of the Sports Club, with the right to manage, mark and control those bays. The car park is not demised and was never in the All England Club's lease; the LTA's 2008 licence over 30 spaces (two months' notice) will be ended or re-allocated by the Landlord before the lease start. The Landlord may require up to [30] of the bays to be made available to the All England Club during the Qualifying period each year under the event traffic plan, with grass overflow provided by the Club.</w:t>
      </w:r>
    </w:p>
    <w:p>
      <w:pPr>
        <w:pStyle w:val="ListParagraph"/>
        <w:numPr>
          <w:ilvl w:val="0"/>
          <w:numId w:val="2"/>
        </w:numPr>
        <w:spacing w:after="80" w:line="290"/>
      </w:pPr>
      <w:r>
        <w:rPr>
          <w:rFonts w:ascii="Calibri" w:cs="Calibri" w:eastAsia="Calibri" w:hAnsi="Calibri"/>
          <w:color w:val="1D1D1B"/>
          <w:sz w:val="21"/>
          <w:szCs w:val="21"/>
        </w:rPr>
        <w:t xml:space="preserve">Access: vehicular and pedestrian access at all times through Gate 2 (the timber gates on Bank Lane) into car park A, and on foot and for servicing along the estate road between The Grange and the Sports Club to the Sports Club's west entrance and the Pavilion's front door. Emergency and servicing access through Gate 1 (the Bank Lane barrier).</w:t>
      </w:r>
    </w:p>
    <w:p>
      <w:pPr>
        <w:pStyle w:val="ListParagraph"/>
        <w:numPr>
          <w:ilvl w:val="0"/>
          <w:numId w:val="2"/>
        </w:numPr>
        <w:spacing w:after="80" w:line="290"/>
      </w:pPr>
      <w:r>
        <w:rPr>
          <w:rFonts w:ascii="Calibri" w:cs="Calibri" w:eastAsia="Calibri" w:hAnsi="Calibri"/>
          <w:color w:val="1D1D1B"/>
          <w:sz w:val="21"/>
          <w:szCs w:val="21"/>
        </w:rPr>
        <w:t xml:space="preserve">Services: the right to connect to and use existing drains, water, gas, electricity and telecoms serving the premises, with the Landlord separating supplies where they are shared with the Club or The Grange as part of the Landlord's works.</w:t>
      </w:r>
    </w:p>
    <w:p>
      <w:pPr>
        <w:pStyle w:val="ListParagraph"/>
        <w:numPr>
          <w:ilvl w:val="0"/>
          <w:numId w:val="2"/>
        </w:numPr>
        <w:spacing w:after="80" w:line="290"/>
      </w:pPr>
      <w:r>
        <w:rPr>
          <w:rFonts w:ascii="Calibri" w:cs="Calibri" w:eastAsia="Calibri" w:hAnsi="Calibri"/>
          <w:color w:val="1D1D1B"/>
          <w:sz w:val="21"/>
          <w:szCs w:val="21"/>
        </w:rPr>
        <w:t xml:space="preserve">Signage: at the Bank Lane gate, along the access route and on the buildings, subject to Landlord's approval and any planning consent.</w:t>
      </w:r>
    </w:p>
    <w:p>
      <w:pPr>
        <w:pStyle w:val="ListParagraph"/>
        <w:numPr>
          <w:ilvl w:val="0"/>
          <w:numId w:val="2"/>
        </w:numPr>
        <w:spacing w:after="80" w:line="290"/>
      </w:pPr>
      <w:r>
        <w:rPr>
          <w:rFonts w:ascii="Calibri" w:cs="Calibri" w:eastAsia="Calibri" w:hAnsi="Calibri"/>
          <w:color w:val="1D1D1B"/>
          <w:sz w:val="21"/>
          <w:szCs w:val="21"/>
        </w:rPr>
        <w:t xml:space="preserve">The pitch: access from the car park and the estate road; the right to floodlight and fence within existing consents.</w:t>
      </w:r>
    </w:p>
    <w:p>
      <w:pPr>
        <w:pStyle w:val="Heading2"/>
        <w:spacing w:after="100" w:before="260"/>
      </w:pPr>
      <w:r>
        <w:rPr>
          <w:rFonts w:ascii="Calibri" w:cs="Calibri" w:eastAsia="Calibri" w:hAnsi="Calibri"/>
          <w:b/>
          <w:bCs/>
          <w:color w:val="6E0C25"/>
          <w:sz w:val="24"/>
          <w:szCs w:val="24"/>
        </w:rPr>
        <w:t xml:space="preserve">4. Term and 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Term</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 years from the lease start, with no tenant break. [Landlord to consider a tenant break at year 15 on 12 months' notice if required.]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Alienation</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Assignment of the whole with the Landlord's consent, not to be unreasonably withheld or delayed, with an authorised guarantee agreement where reasonably required; no assignment of part. Underletting of the whole, or of the Pavilion or the Sports Club as a separate unit, with consent not to be unreasonably withheld, at the open market rent, contracted out of the 1954 Act, on terms consistent with this lease. Sharing with group companies and with concessionaires and franchisees in the ordinary course of a health club business without consent, on notice. Charging of the whole without consent to a bona fide lender.</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Repair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Full repairing and insuring, the Tenant to keep the premises in good and substantial repair and condition from the developer's shell handed over, with the Landlord's Works warranted or collateral warranties assigned to the Tenant. External and structural repair of the Landlord's Works items during a [24]-month defects period for the Landlord's account.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Insurance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Landlord insures the buildings for full reinstatement and three years' loss of rent; Tenant reimburses the premium and insures its own fit-out, contents and plate glass. Rent suspension and a mutual right to determine if not reinstated within three years.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Service charge and estate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fair proportion of the cost of maintaining the estate roads, both Bank Lane gates, car park A, lighting, landscaping and security, with a budget to be agreed and capped for the first [three] years at [£] per annum indexed.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User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Health and fitness club with pool, spa, studios, racquet and sports hall uses, treatment rooms, members' lounge, restaurant, bar and café, children's and family facilities, retail ancillary to the club, events and hospitality in the Pavilion, and the astro pitch for sport, within Class E and F2 as appropriate, and any other use within Class E with consent not to be unreasonably withheld.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Alterations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Non-structural internal alterations and the initial fit-out without consent on notice; structural and external alterations with consent not to be unreasonably withheld; signage to the Tenant's corporate standard on both buildings and at Gate 2 with consent not to be unreasonably withheld.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1954 Act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Inside the Act.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Costs and VAT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Each party bears its own legal and professional costs. Rents exclusive of VAT; the Landlord will not opt to tax without the Tenant's agreement, or will indemnify the Tenant for irrecoverable VAT.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Lease start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On practical completion of the Landlord's Works and handover of the premises, targeted for the second quarter of 2027. The agreement for lease exchanges with the Landlord's purchase (target completion January 2027) and the All England Club's surrender and regrant complete the same day, so the Landlord's Works can start immediately. A January 2027 lease start is not achievable; the works will take a minimum of three months.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£1,804,260 per annum exclusive, being £30.00 per sq ft GIA on 60,142 sq ft. The astro pitch and strip are included at no additional rent.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 free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12 months from the lease start.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Capital contribution</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sum equal to two years' rent, £3,608,520, paid by the Landlord to the Tenant on completion of the lease, towards the Tenant's fit-out, in addition to the Landlord's Works below.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 review</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Five-yearly, upwards only, to the rent indexed to CPI compounded annually and capped at 3 per cent per annum (so no more than 15.93 per cent at each review), with a collar at the passing rent.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Payment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Quarterly in advance on the usual quarter days; VAT at the standard rate, the property being opted to tax.</w:t>
            </w:r>
          </w:p>
        </w:tc>
      </w:tr>
    </w:tbl>
    <w:p>
      <w:pPr>
        <w:pStyle w:val="Heading2"/>
        <w:spacing w:after="100" w:before="260"/>
      </w:pPr>
      <w:r>
        <w:rPr>
          <w:rFonts w:ascii="Calibri" w:cs="Calibri" w:eastAsia="Calibri" w:hAnsi="Calibri"/>
          <w:b/>
          <w:bCs/>
          <w:color w:val="6E0C25"/>
          <w:sz w:val="24"/>
          <w:szCs w:val="24"/>
        </w:rPr>
        <w:t xml:space="preserve">5. Use, repair and outgoings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Permitted use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Health club, gym, pool, spa, studios and indoor sport within Class E(d), with ancillary café, retail and treatment uses, and the use of the astro pitch for sport and fitness. The existing use of the buildings is indoor sport and leisure, so no change of use is required.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Repair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Full repairing and insuring. The Tenant keeps the premises, the pitch surface and fence in good repair; the Landlord insures the buildings and recovers the premium.</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Service charge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fair proportion of the cost of maintaining the estate roads, both Bank Lane gates, car park A, lighting, landscaping and security, with a budget to be agreed. Car park B and The Grange are excluded.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Rates and utilities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Tenant's responsibility from the lease start.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Alterations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Internal non-structural alterations without consent; structural and external alterations with Landlord's consent not to be unreasonably withheld. New external plant, flues and signage need their own planning consents and are the Tenant's risk.</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Alienation</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Assignment of the whole with consent and an authorised guarantee agreement; underletting of the whole or of the pitch with consent; no underletting of part of the buildings. Group sharing permitted.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1954 Act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Inside the Landlord and Tenant Act 1954.</w:t>
            </w:r>
          </w:p>
        </w:tc>
      </w:tr>
    </w:tbl>
    <w:p>
      <w:pPr>
        <w:pStyle w:val="Heading2"/>
        <w:spacing w:after="100" w:before="260"/>
      </w:pPr>
      <w:r>
        <w:rPr>
          <w:rFonts w:ascii="Calibri" w:cs="Calibri" w:eastAsia="Calibri" w:hAnsi="Calibri"/>
          <w:b/>
          <w:bCs/>
          <w:color w:val="6E0C25"/>
          <w:sz w:val="24"/>
          <w:szCs w:val="24"/>
        </w:rPr>
        <w:t xml:space="preserve">6. Works</w:t>
      </w:r>
    </w:p>
    <w:p>
      <w:pPr>
        <w:pStyle w:val="ListParagraph"/>
        <w:numPr>
          <w:ilvl w:val="0"/>
          <w:numId w:val="2"/>
        </w:numPr>
        <w:spacing w:after="80" w:line="290"/>
      </w:pPr>
      <w:r>
        <w:rPr>
          <w:rFonts w:ascii="Calibri" w:cs="Calibri" w:eastAsia="Calibri" w:hAnsi="Calibri"/>
          <w:color w:val="1D1D1B"/>
          <w:sz w:val="21"/>
          <w:szCs w:val="21"/>
        </w:rPr>
        <w:t xml:space="preserve">Landlord's Works, to a specification to be agreed: (a) a full internal strip-out of both buildings to a developer's shell, removing the internal partitions, finishes, fittings and the Club's fixtures to give clear open-plan floors, and severing and making good the junction with the temporary pavilion; (b) a full external repair of both buildings so that the roofs, cladding, glazing and elevations are in good repair and fit for a 20-year term, including the appearance of the Sports Club roof and glazing; (c) a new ground-floor link between the Pavilion and the Sports Club, or complete recladding of the existing bridge link; (d) separation of services and capped-off incoming supplies. Internal mechanical and electrical renewal and all finishes are the Tenant's fit-out. Programme a minimum of three months from completion of the Landlord's purchase. Allowance in the Landlord's appraisal: [£130 per sq ft], based on the fabric items in the Lighthouse Surveyors vendor's survey annexed to the 2021 lease (roofs, windows, cladding and consequential fabric repair, £2.5m on the Pavilion and £3.0m on the Sports Club at 2019 prices), to be confirmed by a quantity surveyor. Mechanical and electrical renewal is for the Tenant's fit-out, funded by the capital contribution.</w:t>
      </w:r>
    </w:p>
    <w:p>
      <w:pPr>
        <w:pStyle w:val="ListParagraph"/>
        <w:numPr>
          <w:ilvl w:val="0"/>
          <w:numId w:val="2"/>
        </w:numPr>
        <w:spacing w:after="80" w:line="290"/>
      </w:pPr>
      <w:r>
        <w:rPr>
          <w:rFonts w:ascii="Calibri" w:cs="Calibri" w:eastAsia="Calibri" w:hAnsi="Calibri"/>
          <w:color w:val="1D1D1B"/>
          <w:sz w:val="21"/>
          <w:szCs w:val="21"/>
        </w:rPr>
        <w:t xml:space="preserve">Tenant's works: full fit-out to Third Space specification from the developer's shell, including the pool and spa refurbishment, studios, gym floor and the Pavilion conversion, funded by the Tenant with the capital contribution. Licence for alterations granted with the lease. The fit-out falls within the rent-free.</w:t>
      </w:r>
    </w:p>
    <w:p>
      <w:pPr>
        <w:pStyle w:val="Heading2"/>
        <w:spacing w:after="100" w:before="260"/>
      </w:pPr>
      <w:r>
        <w:rPr>
          <w:rFonts w:ascii="Calibri" w:cs="Calibri" w:eastAsia="Calibri" w:hAnsi="Calibri"/>
          <w:b/>
          <w:bCs/>
          <w:color w:val="6E0C25"/>
          <w:sz w:val="24"/>
          <w:szCs w:val="24"/>
        </w:rPr>
        <w:t xml:space="preserve">7. The Wimbledon Qualifying fortnight</w:t>
      </w:r>
    </w:p>
    <w:p>
      <w:pPr>
        <w:spacing w:after="140" w:line="300"/>
      </w:pPr>
      <w:r>
        <w:rPr>
          <w:rFonts w:ascii="Calibri" w:cs="Calibri" w:eastAsia="Calibri" w:hAnsi="Calibri"/>
          <w:color w:val="1D1D1B"/>
          <w:sz w:val="21"/>
          <w:szCs w:val="21"/>
        </w:rPr>
        <w:t xml:space="preserve">The All England Club will hold a new 10-year lease of the playing fields and will run the Wimbledon Qualifying Competition on them each June until it relocates to Wimbledon Park. To keep the two uses working side by side the lease will contain:</w:t>
      </w:r>
    </w:p>
    <w:p>
      <w:pPr>
        <w:pStyle w:val="ListParagraph"/>
        <w:numPr>
          <w:ilvl w:val="0"/>
          <w:numId w:val="2"/>
        </w:numPr>
        <w:spacing w:after="80" w:line="290"/>
      </w:pPr>
      <w:r>
        <w:rPr>
          <w:rFonts w:ascii="Calibri" w:cs="Calibri" w:eastAsia="Calibri" w:hAnsi="Calibri"/>
          <w:color w:val="1D1D1B"/>
          <w:sz w:val="21"/>
          <w:szCs w:val="21"/>
        </w:rPr>
        <w:t xml:space="preserve">A Qualifying period each year, expected to be the two weeks ending with the Qualifying final (late June), plus build and breakdown on the fields that do not affect the premises.</w:t>
      </w:r>
    </w:p>
    <w:p>
      <w:pPr>
        <w:pStyle w:val="ListParagraph"/>
        <w:numPr>
          <w:ilvl w:val="0"/>
          <w:numId w:val="2"/>
        </w:numPr>
        <w:spacing w:after="80" w:line="290"/>
      </w:pPr>
      <w:r>
        <w:rPr>
          <w:rFonts w:ascii="Calibri" w:cs="Calibri" w:eastAsia="Calibri" w:hAnsi="Calibri"/>
          <w:color w:val="1D1D1B"/>
          <w:sz w:val="21"/>
          <w:szCs w:val="21"/>
        </w:rPr>
        <w:t xml:space="preserve">An option for the Club, exercisable by 1 March each year, to hire the Pavilion function hall, bars and roof terrace for hospitality during the Qualifying period at a fee of [£] per week, with catering by arrangement, the Tenant retaining the Sports Club, pool, studios and gym for members throughout.</w:t>
      </w:r>
    </w:p>
    <w:p>
      <w:pPr>
        <w:pStyle w:val="ListParagraph"/>
        <w:numPr>
          <w:ilvl w:val="0"/>
          <w:numId w:val="2"/>
        </w:numPr>
        <w:spacing w:after="80" w:line="290"/>
      </w:pPr>
      <w:r>
        <w:rPr>
          <w:rFonts w:ascii="Calibri" w:cs="Calibri" w:eastAsia="Calibri" w:hAnsi="Calibri"/>
          <w:color w:val="1D1D1B"/>
          <w:sz w:val="21"/>
          <w:szCs w:val="21"/>
        </w:rPr>
        <w:t xml:space="preserve">Co-operation with the event traffic management plan, including temporary allocation of up to [30] bays and marshalling at Gate 2, with the Club providing grass overflow parking under its existing consents.</w:t>
      </w:r>
    </w:p>
    <w:p>
      <w:pPr>
        <w:pStyle w:val="ListParagraph"/>
        <w:numPr>
          <w:ilvl w:val="0"/>
          <w:numId w:val="2"/>
        </w:numPr>
        <w:spacing w:after="80" w:line="290"/>
      </w:pPr>
      <w:r>
        <w:rPr>
          <w:rFonts w:ascii="Calibri" w:cs="Calibri" w:eastAsia="Calibri" w:hAnsi="Calibri"/>
          <w:color w:val="1D1D1B"/>
          <w:sz w:val="21"/>
          <w:szCs w:val="21"/>
        </w:rPr>
        <w:t xml:space="preserve">No obligation on the Tenant beyond the Qualifying period, and no event use of the astro pitch except by agreement.</w:t>
      </w:r>
    </w:p>
    <w:p>
      <w:pPr>
        <w:pStyle w:val="Heading2"/>
        <w:spacing w:after="100" w:before="260"/>
      </w:pPr>
      <w:r>
        <w:rPr>
          <w:rFonts w:ascii="Calibri" w:cs="Calibri" w:eastAsia="Calibri" w:hAnsi="Calibri"/>
          <w:b/>
          <w:bCs/>
          <w:color w:val="6E0C25"/>
          <w:sz w:val="24"/>
          <w:szCs w:val="24"/>
        </w:rPr>
        <w:t xml:space="preserve">8. Security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Guarantee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Parent company guarantee from [Third Space parent], or a rent deposit of [12] months' rent plus VAT, to be released on the Tenant achieving [agreed covenant test].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Costs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Each party to bear its own legal and professional costs.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Agents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Bruce Gillingham Pollard for the Landlord. [Tenant's agent].</w:t>
            </w:r>
          </w:p>
        </w:tc>
      </w:tr>
    </w:tbl>
    <w:p>
      <w:pPr>
        <w:pStyle w:val="Heading2"/>
        <w:spacing w:after="100" w:before="260"/>
      </w:pPr>
      <w:r>
        <w:rPr>
          <w:rFonts w:ascii="Calibri" w:cs="Calibri" w:eastAsia="Calibri" w:hAnsi="Calibri"/>
          <w:b/>
          <w:bCs/>
          <w:color w:val="6E0C25"/>
          <w:sz w:val="24"/>
          <w:szCs w:val="24"/>
        </w:rPr>
        <w:t xml:space="preserve">9. Conditions and timetable</w:t>
      </w:r>
    </w:p>
    <w:p>
      <w:pPr>
        <w:pStyle w:val="ListParagraph"/>
        <w:numPr>
          <w:ilvl w:val="0"/>
          <w:numId w:val="2"/>
        </w:numPr>
        <w:spacing w:after="80" w:line="290"/>
      </w:pPr>
      <w:r>
        <w:rPr>
          <w:rFonts w:ascii="Calibri" w:cs="Calibri" w:eastAsia="Calibri" w:hAnsi="Calibri"/>
          <w:color w:val="1D1D1B"/>
          <w:sz w:val="21"/>
          <w:szCs w:val="21"/>
        </w:rPr>
        <w:t xml:space="preserve">Agreement for lease conditional upon (a) the Landlord's purchase of the estate, (b) the surrender of the All England Club's existing lease and the regrant of a lease of the playing fields only, and (c) practical completion of the Landlord's Works. Exchanged with the Landlord's purchase contract; long-stop date [31 December 2027].</w:t>
      </w:r>
    </w:p>
    <w:p>
      <w:pPr>
        <w:pStyle w:val="ListParagraph"/>
        <w:numPr>
          <w:ilvl w:val="0"/>
          <w:numId w:val="2"/>
        </w:numPr>
        <w:spacing w:after="80" w:line="290"/>
      </w:pPr>
      <w:r>
        <w:rPr>
          <w:rFonts w:ascii="Calibri" w:cs="Calibri" w:eastAsia="Calibri" w:hAnsi="Calibri"/>
          <w:color w:val="1D1D1B"/>
          <w:sz w:val="21"/>
          <w:szCs w:val="21"/>
        </w:rPr>
        <w:t xml:space="preserve">No planning condition: the buildings are already in indoor sport and leisure use and the pitch is already laid out. Any consents for the Tenant's external works are the Tenant's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Step</w:t>
            </w:r>
          </w:p>
        </w:tc>
        <w:tc>
          <w:tcPr>
            <w:tcW w:type="dxa" w:w="468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Target</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Heads of terms agreed</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November 2026</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Exchange of agreement for lease</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With the Landlord's exchange on the estate, late 2026</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Completion of the purchase; surrender and regrant; Landlord's Works start</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January 2027</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Practical completion of the Landlord's Works; lease completes; capital contribution paid</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Target April 2027</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Tenant's fit-out</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2027, within the rent-free</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Rent commences</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12 months from the lease start, target April 2028</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First rent review</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Fifth anniversary of the lease start, 2032</w:t>
            </w:r>
          </w:p>
        </w:tc>
      </w:tr>
    </w:tbl>
    <w:p>
      <w:pPr>
        <w:spacing w:after="140" w:line="300"/>
      </w:pPr>
      <w:r>
        <w:rPr>
          <w:rFonts w:ascii="Calibri" w:cs="Calibri" w:eastAsia="Calibri" w:hAnsi="Calibri"/>
          <w:color w:val="1D1D1B"/>
          <w:sz w:val="21"/>
          <w:szCs w:val="21"/>
        </w:rPr>
        <w:t xml:space="preserve"/>
      </w:r>
    </w:p>
    <w:p>
      <w:pPr>
        <w:pStyle w:val="Heading2"/>
        <w:spacing w:after="100" w:before="260"/>
      </w:pPr>
      <w:r>
        <w:rPr>
          <w:rFonts w:ascii="Calibri" w:cs="Calibri" w:eastAsia="Calibri" w:hAnsi="Calibri"/>
          <w:b/>
          <w:bCs/>
          <w:color w:val="6E0C25"/>
          <w:sz w:val="24"/>
          <w:szCs w:val="24"/>
        </w:rPr>
        <w:t xml:space="preserve">10. Plans and data</w:t>
      </w:r>
    </w:p>
    <w:p>
      <w:pPr>
        <w:pStyle w:val="ListParagraph"/>
        <w:numPr>
          <w:ilvl w:val="0"/>
          <w:numId w:val="2"/>
        </w:numPr>
        <w:spacing w:after="80" w:line="290"/>
      </w:pPr>
      <w:r>
        <w:rPr>
          <w:rFonts w:ascii="Calibri" w:cs="Calibri" w:eastAsia="Calibri" w:hAnsi="Calibri"/>
          <w:color w:val="1D1D1B"/>
          <w:sz w:val="21"/>
          <w:szCs w:val="21"/>
        </w:rPr>
        <w:t xml:space="preserve">Demise plan: analysis/demise-plan.png. Site overlay with parking and gates: analysis/site-overlay.png. Floor-by-floor demise on the GIA plans: analysis/third-space-demise.png.</w:t>
      </w:r>
    </w:p>
    <w:p>
      <w:pPr>
        <w:pStyle w:val="ListParagraph"/>
        <w:numPr>
          <w:ilvl w:val="0"/>
          <w:numId w:val="2"/>
        </w:numPr>
        <w:spacing w:after="80" w:line="290"/>
      </w:pPr>
      <w:r>
        <w:rPr>
          <w:rFonts w:ascii="Calibri" w:cs="Calibri" w:eastAsia="Calibri" w:hAnsi="Calibri"/>
          <w:color w:val="1D1D1B"/>
          <w:sz w:val="21"/>
          <w:szCs w:val="21"/>
        </w:rPr>
        <w:t xml:space="preserve">Principal Plans GIA and NIA drawings (September 2019), Knight Frank area schedule, Warner Surveys topographic survey (August 2019), Groundsure reports and the planning history are in the data room at chatbgp.app/share/roehampton-sports-ground-estate-k7x2.</w:t>
      </w:r>
    </w:p>
    <w:p>
      <w:pPr>
        <w:spacing w:after="140" w:line="300"/>
      </w:pPr>
      <w:r>
        <w:rPr>
          <w:rFonts w:ascii="Calibri" w:cs="Calibri" w:eastAsia="Calibri" w:hAnsi="Calibri"/>
          <w:i/>
          <w:iCs/>
          <w:color w:val="7A6E55"/>
          <w:sz w:val="21"/>
          <w:szCs w:val="21"/>
        </w:rPr>
        <w:t xml:space="preserve">These heads of terms are not intended to create a binding agreement and are subject to contract, to board approval on both sides and to the conditions in section 9.</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Roehampton Sports Ground Estate · Heads of Terms · Third Space · Subject to contract and without prejudice · Draft 17 October 2026</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2026-10-19T12:34:52.221Z</dcterms:created>
  <dcterms:modified xsi:type="dcterms:W3CDTF">2026-10-19T12:34:52.223Z</dcterms:modified>
</cp:coreProperties>
</file>

<file path=docProps/custom.xml><?xml version="1.0" encoding="utf-8"?>
<Properties xmlns="http://schemas.openxmlformats.org/officeDocument/2006/custom-properties" xmlns:vt="http://schemas.openxmlformats.org/officeDocument/2006/docPropsVTypes"/>
</file>