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the Rent Commencement Date,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Target 1 January 2028, following completion of the Landlord's purchase (target January 2027), the surrender and regrant with the All England Club and the Landlord's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the lease start. Rent is payable from the first day of year 3.</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practical completion of the Tenant's fit-out or on the lease start, whichever is later, against the Tenant's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before the lease start: vacant possession of both buildings from the Club; severance of the temporary pavilion from the Pavilion with the north wall made good and weather-tight; separation of services; removal of the Club's fixtures; buildings handed over wind and watertight with plant in working order. Allowance in the Landlord's appraisal: [£75 per sq ft].</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set off. Licence for alterations granted with the lease. Fit-out period of [6] months is covered by the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Agreement for lease conditional on (a) the Landlord completing its purchase of the estate, (b) the surrender of the All England Club's existing lease and the regrant of a lease of the playing fields only, and (c) completion of the Landlord's works. Long-stop date [31 December 2028].</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or before the Landlord's exchange on the estate, early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Landlord's purchase completes; Grange vacant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and regrant with the All England Club; Landlord's works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Lease start; Tenant's fit-out begins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2028</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2030</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2033</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2026-10-17T17:02:48.109Z</dcterms:created>
  <dcterms:modified xsi:type="dcterms:W3CDTF">2026-10-17T17:02:48.112Z</dcterms:modified>
</cp:coreProperties>
</file>

<file path=docProps/custom.xml><?xml version="1.0" encoding="utf-8"?>
<Properties xmlns="http://schemas.openxmlformats.org/officeDocument/2006/custom-properties" xmlns:vt="http://schemas.openxmlformats.org/officeDocument/2006/docPropsVTypes"/>
</file>