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1BBD" w14:textId="77777777" w:rsidR="00290E40" w:rsidRDefault="00F127DF">
      <w:pPr>
        <w:pStyle w:val="Standard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ЗАЯВЛЕНИЕ</w:t>
      </w:r>
    </w:p>
    <w:p w14:paraId="7F8DE29F" w14:textId="77777777" w:rsidR="00290E40" w:rsidRDefault="00F127DF">
      <w:pPr>
        <w:pStyle w:val="21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о вынесении судебного приказа о взыскании финансовых санкций</w:t>
      </w:r>
    </w:p>
    <w:p w14:paraId="702B30D2" w14:textId="2E23DA87" w:rsidR="00290E40" w:rsidRDefault="00290E40">
      <w:pPr>
        <w:pStyle w:val="Standard"/>
        <w:jc w:val="both"/>
      </w:pPr>
    </w:p>
    <w:p w14:paraId="43FCE186" w14:textId="6A506A27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 xml:space="preserve">  В соответствии с п. 1 ст. 11 Федерального закона от 01.04.1996 года № 27-ФЗ «Об индивидуальном (персонифицированном) учете в системе обязательного пенсионного страхования» (далее - Закон № 27-ФЗ) страхователи представляют предусмотренные </w:t>
      </w:r>
      <w:r w:rsidRPr="000E28F0">
        <w:rPr>
          <w:rStyle w:val="Internetlink"/>
          <w:color w:val="000000" w:themeColor="text1"/>
          <w:sz w:val="24"/>
          <w:szCs w:val="24"/>
          <w:lang w:eastAsia="ar-SA"/>
        </w:rPr>
        <w:t>пунктами 2</w:t>
      </w:r>
      <w:r w:rsidRPr="000E28F0">
        <w:rPr>
          <w:color w:val="000000" w:themeColor="text1"/>
          <w:sz w:val="24"/>
          <w:szCs w:val="24"/>
          <w:lang w:eastAsia="ar-SA"/>
        </w:rPr>
        <w:t xml:space="preserve"> - </w:t>
      </w:r>
      <w:hyperlink r:id="rId7" w:history="1">
        <w:r w:rsidRPr="000E28F0">
          <w:rPr>
            <w:rStyle w:val="Internetlink"/>
            <w:color w:val="000000" w:themeColor="text1"/>
            <w:sz w:val="24"/>
            <w:szCs w:val="24"/>
            <w:lang w:eastAsia="ar-SA"/>
          </w:rPr>
          <w:t>2.2</w:t>
        </w:r>
      </w:hyperlink>
      <w:r>
        <w:rPr>
          <w:color w:val="000000"/>
          <w:sz w:val="24"/>
          <w:szCs w:val="24"/>
          <w:lang w:eastAsia="ar-SA"/>
        </w:rPr>
        <w:t xml:space="preserve"> настоящей статьи сведения для индивидуального (персонифицированного) учета в органы Пенсионного фонда Российской Федерации по месту их регистрации.</w:t>
      </w:r>
    </w:p>
    <w:p w14:paraId="5764B303" w14:textId="77777777" w:rsidR="00290E40" w:rsidRDefault="00F127DF">
      <w:pPr>
        <w:pStyle w:val="Standard"/>
        <w:suppressAutoHyphens w:val="0"/>
        <w:autoSpaceDE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п. 2.2. ст. 11 Закона № 27-ФЗ  с 01.01.2017г. страхователь ежемесячно не позднее 15-го числа месяца, следующего за отчетным периодом-месяцем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 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</w:t>
      </w:r>
    </w:p>
    <w:p w14:paraId="4D34520E" w14:textId="77777777" w:rsidR="00290E40" w:rsidRDefault="00F127DF">
      <w:pPr>
        <w:pStyle w:val="Standard"/>
        <w:suppressAutoHyphens w:val="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1) страховой номер индивидуального лицевого счета;</w:t>
      </w:r>
    </w:p>
    <w:p w14:paraId="6B3CC65D" w14:textId="77777777" w:rsidR="00290E40" w:rsidRDefault="00F127DF">
      <w:pPr>
        <w:pStyle w:val="Standard"/>
        <w:suppressAutoHyphens w:val="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2) фамилию, имя и отчество;</w:t>
      </w:r>
    </w:p>
    <w:p w14:paraId="1592D17A" w14:textId="77777777" w:rsidR="00290E40" w:rsidRDefault="00F127DF">
      <w:pPr>
        <w:pStyle w:val="Standard"/>
        <w:suppressAutoHyphens w:val="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14:paraId="77BFD6A0" w14:textId="1B3F1E64" w:rsidR="00290E40" w:rsidRDefault="00F127DF" w:rsidP="001710C2">
      <w:pPr>
        <w:pStyle w:val="Standard"/>
        <w:ind w:firstLine="540"/>
        <w:jc w:val="both"/>
        <w:rPr>
          <w:color w:val="000000"/>
          <w:sz w:val="24"/>
          <w:szCs w:val="24"/>
          <w:lang w:eastAsia="ar-SA"/>
        </w:rPr>
      </w:pPr>
      <w:r>
        <w:rPr>
          <w:color w:val="000000"/>
          <w:sz w:val="24"/>
          <w:szCs w:val="24"/>
          <w:lang w:eastAsia="ar-SA"/>
        </w:rPr>
        <w:t xml:space="preserve">В соответствии с ч. 3 ст. 17 Закон № 27-ФЗ за непредставление страхователем                     в установленный срок либо представление им неполных и (или) недостоверных сведений, предусмотренных </w:t>
      </w:r>
      <w:hyperlink r:id="rId8" w:history="1">
        <w:r w:rsidRPr="000E28F0">
          <w:rPr>
            <w:rStyle w:val="Internetlink"/>
            <w:color w:val="000000" w:themeColor="text1"/>
            <w:sz w:val="24"/>
            <w:szCs w:val="24"/>
            <w:lang w:eastAsia="ar-SA"/>
          </w:rPr>
          <w:t>пунктами 2 - 2.2 статьи 11</w:t>
        </w:r>
      </w:hyperlink>
      <w:r w:rsidRPr="000E28F0">
        <w:rPr>
          <w:color w:val="000000" w:themeColor="text1"/>
          <w:sz w:val="24"/>
          <w:szCs w:val="24"/>
          <w:lang w:eastAsia="ar-SA"/>
        </w:rPr>
        <w:t xml:space="preserve"> </w:t>
      </w:r>
      <w:r>
        <w:rPr>
          <w:color w:val="000000"/>
          <w:sz w:val="24"/>
          <w:szCs w:val="24"/>
          <w:lang w:eastAsia="ar-SA"/>
        </w:rPr>
        <w:t>настоящего Федерального закона, к такому страхователю применяются финансовые санкции в размере 500 рублей в отношении каждого застрахованного лица.</w:t>
      </w:r>
    </w:p>
    <w:p w14:paraId="60F7EC72" w14:textId="77777777" w:rsidR="00290E40" w:rsidRDefault="00F127DF">
      <w:pPr>
        <w:pStyle w:val="Standard"/>
        <w:jc w:val="both"/>
      </w:pPr>
      <w:r>
        <w:rPr>
          <w:rFonts w:eastAsia="Arial"/>
          <w:b/>
          <w:bCs/>
          <w:color w:val="000000"/>
          <w:sz w:val="22"/>
          <w:szCs w:val="22"/>
          <w:lang w:eastAsia="ar-SA"/>
        </w:rPr>
        <w:tab/>
      </w:r>
      <w:r>
        <w:rPr>
          <w:color w:val="000000"/>
          <w:sz w:val="24"/>
          <w:szCs w:val="24"/>
          <w:lang w:eastAsia="ar-SA"/>
        </w:rPr>
        <w:t>В соответствии со ст. 17 Закона № 27-ФЗ в случае неуплаты или неполной уплаты страхователем финансовых санкций по тре</w:t>
      </w:r>
      <w:bookmarkStart w:id="0" w:name="_GoBack"/>
      <w:bookmarkEnd w:id="0"/>
      <w:r>
        <w:rPr>
          <w:color w:val="000000"/>
          <w:sz w:val="24"/>
          <w:szCs w:val="24"/>
          <w:lang w:eastAsia="ar-SA"/>
        </w:rPr>
        <w:t>бованию взыскание сумм финансовых санкций производится территориальными органами Пенсионного фонда Российской Федерации             в судебном порядке.</w:t>
      </w:r>
    </w:p>
    <w:p w14:paraId="2236CC99" w14:textId="77777777" w:rsidR="00290E40" w:rsidRDefault="00F127DF">
      <w:pPr>
        <w:pStyle w:val="20"/>
        <w:spacing w:after="0" w:line="240" w:lineRule="auto"/>
        <w:jc w:val="both"/>
      </w:pPr>
      <w:r>
        <w:rPr>
          <w:b/>
          <w:color w:val="000000"/>
          <w:sz w:val="24"/>
          <w:szCs w:val="26"/>
        </w:rPr>
        <w:tab/>
      </w:r>
      <w:r>
        <w:rPr>
          <w:color w:val="000000"/>
          <w:sz w:val="24"/>
          <w:szCs w:val="26"/>
          <w:shd w:val="clear" w:color="auto" w:fill="FFFFFF"/>
        </w:rPr>
        <w:t>На основании вышеизложенного, руководствуясь</w:t>
      </w:r>
      <w:r>
        <w:rPr>
          <w:b/>
          <w:color w:val="000000"/>
          <w:sz w:val="24"/>
          <w:szCs w:val="26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ст.ст.11.17 Федерального закона от </w:t>
      </w:r>
      <w:r>
        <w:rPr>
          <w:color w:val="000000"/>
          <w:sz w:val="24"/>
          <w:szCs w:val="24"/>
          <w:shd w:val="clear" w:color="auto" w:fill="FFFFFF"/>
          <w:lang w:eastAsia="ar-SA"/>
        </w:rPr>
        <w:t>01.04.1996 № 27-ФЗ «Об индивидуальном (персонифицированном) учете в системе обязательного пенсионного страхования»</w:t>
      </w:r>
      <w:r>
        <w:rPr>
          <w:color w:val="000000"/>
          <w:sz w:val="24"/>
          <w:szCs w:val="24"/>
          <w:shd w:val="clear" w:color="auto" w:fill="FFFFFF"/>
        </w:rPr>
        <w:t>,</w:t>
      </w:r>
      <w:r>
        <w:rPr>
          <w:rFonts w:eastAsia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Calibri"/>
          <w:color w:val="000000"/>
          <w:spacing w:val="-3"/>
          <w:sz w:val="24"/>
          <w:szCs w:val="24"/>
          <w:shd w:val="clear" w:color="auto" w:fill="FFFFFF"/>
        </w:rPr>
        <w:t>ст.ст</w:t>
      </w:r>
      <w:proofErr w:type="spellEnd"/>
      <w:r>
        <w:rPr>
          <w:rFonts w:eastAsia="Calibri"/>
          <w:color w:val="000000"/>
          <w:spacing w:val="-3"/>
          <w:sz w:val="24"/>
          <w:szCs w:val="24"/>
          <w:shd w:val="clear" w:color="auto" w:fill="FFFFFF"/>
        </w:rPr>
        <w:t>. 229.1-229.6 А</w:t>
      </w:r>
      <w:r>
        <w:rPr>
          <w:rFonts w:eastAsia="Calibri"/>
          <w:color w:val="000000"/>
          <w:spacing w:val="-3"/>
          <w:sz w:val="24"/>
          <w:szCs w:val="24"/>
        </w:rPr>
        <w:t xml:space="preserve">рбитражного процессуального кодекса Российской Федерации, ст. 333.37 главы 25.3 Налогового кодекса Российской Федерации </w:t>
      </w:r>
      <w:r>
        <w:rPr>
          <w:color w:val="000000"/>
          <w:spacing w:val="-3"/>
          <w:sz w:val="24"/>
          <w:szCs w:val="24"/>
        </w:rPr>
        <w:t>Государственное учреждение - Отделение Пенсионного фонда Российской Федерации по Ярославской области</w:t>
      </w:r>
    </w:p>
    <w:p w14:paraId="2B53D4BD" w14:textId="77777777" w:rsidR="00290E40" w:rsidRDefault="00290E40">
      <w:pPr>
        <w:pStyle w:val="20"/>
        <w:spacing w:line="240" w:lineRule="auto"/>
        <w:jc w:val="center"/>
        <w:rPr>
          <w:sz w:val="24"/>
        </w:rPr>
      </w:pPr>
    </w:p>
    <w:p w14:paraId="2543C61A" w14:textId="5680C86D" w:rsidR="00290E40" w:rsidRDefault="00F127DF" w:rsidP="001710C2">
      <w:pPr>
        <w:pStyle w:val="20"/>
        <w:spacing w:line="240" w:lineRule="auto"/>
        <w:jc w:val="center"/>
        <w:rPr>
          <w:sz w:val="22"/>
        </w:rPr>
      </w:pPr>
      <w:r>
        <w:rPr>
          <w:sz w:val="24"/>
        </w:rPr>
        <w:t>ПРОСИТ СУД</w:t>
      </w:r>
      <w:r>
        <w:rPr>
          <w:sz w:val="22"/>
        </w:rPr>
        <w:t>:</w:t>
      </w:r>
    </w:p>
    <w:p w14:paraId="2595D018" w14:textId="77777777" w:rsidR="001710C2" w:rsidRDefault="001710C2" w:rsidP="001710C2">
      <w:pPr>
        <w:pStyle w:val="20"/>
        <w:spacing w:line="240" w:lineRule="auto"/>
        <w:jc w:val="center"/>
      </w:pPr>
    </w:p>
    <w:p w14:paraId="3413A4F8" w14:textId="77777777" w:rsidR="00290E40" w:rsidRDefault="00F127DF">
      <w:pPr>
        <w:pStyle w:val="Standard"/>
        <w:tabs>
          <w:tab w:val="left" w:pos="0"/>
        </w:tabs>
        <w:jc w:val="both"/>
      </w:pPr>
      <w:r>
        <w:rPr>
          <w:sz w:val="24"/>
          <w:szCs w:val="24"/>
          <w:shd w:val="clear" w:color="auto" w:fill="FFFFFF"/>
          <w:lang w:eastAsia="ar-SA"/>
        </w:rPr>
        <w:tab/>
        <w:t xml:space="preserve">2. В соответствии со статьей 105 Арбитражного процессуального Кодекса РФ         и </w:t>
      </w:r>
      <w:proofErr w:type="spellStart"/>
      <w:r>
        <w:rPr>
          <w:sz w:val="24"/>
          <w:szCs w:val="24"/>
          <w:shd w:val="clear" w:color="auto" w:fill="FFFFFF"/>
          <w:lang w:eastAsia="ar-SA"/>
        </w:rPr>
        <w:t>п.п</w:t>
      </w:r>
      <w:proofErr w:type="spellEnd"/>
      <w:r>
        <w:rPr>
          <w:sz w:val="24"/>
          <w:szCs w:val="24"/>
          <w:shd w:val="clear" w:color="auto" w:fill="FFFFFF"/>
          <w:lang w:eastAsia="ar-SA"/>
        </w:rPr>
        <w:t xml:space="preserve">. 1 п.1 статьи 333.37 Главы 25.3 «Государственная пошлина» Налогового кодекса РФ рассмотреть заявление ОПФР </w:t>
      </w:r>
      <w:r>
        <w:rPr>
          <w:color w:val="000000"/>
          <w:spacing w:val="-3"/>
          <w:sz w:val="24"/>
          <w:szCs w:val="24"/>
          <w:shd w:val="clear" w:color="auto" w:fill="FFFFFF"/>
        </w:rPr>
        <w:t xml:space="preserve">по Ярославской области </w:t>
      </w:r>
      <w:r>
        <w:rPr>
          <w:sz w:val="24"/>
          <w:szCs w:val="24"/>
          <w:shd w:val="clear" w:color="auto" w:fill="FFFFFF"/>
          <w:lang w:eastAsia="ar-SA"/>
        </w:rPr>
        <w:t>без оплаты государственной пошлины.</w:t>
      </w:r>
    </w:p>
    <w:p w14:paraId="70AC898B" w14:textId="77777777" w:rsidR="00290E40" w:rsidRDefault="00F127DF">
      <w:pPr>
        <w:pStyle w:val="Standard"/>
        <w:tabs>
          <w:tab w:val="left" w:pos="0"/>
        </w:tabs>
        <w:jc w:val="both"/>
      </w:pPr>
      <w:r>
        <w:rPr>
          <w:bCs/>
          <w:iCs/>
          <w:sz w:val="24"/>
          <w:szCs w:val="24"/>
        </w:rPr>
        <w:tab/>
        <w:t>3. Судебный приказ просим направить в адрес О</w:t>
      </w:r>
      <w:r>
        <w:rPr>
          <w:sz w:val="24"/>
          <w:szCs w:val="24"/>
          <w:shd w:val="clear" w:color="auto" w:fill="FFFFFF"/>
          <w:lang w:eastAsia="ar-SA"/>
        </w:rPr>
        <w:t xml:space="preserve">ПФР </w:t>
      </w:r>
      <w:r>
        <w:rPr>
          <w:color w:val="000000"/>
          <w:spacing w:val="-3"/>
          <w:sz w:val="24"/>
          <w:szCs w:val="24"/>
          <w:shd w:val="clear" w:color="auto" w:fill="FFFFFF"/>
        </w:rPr>
        <w:t>по Ярославской области</w:t>
      </w:r>
      <w:r>
        <w:rPr>
          <w:bCs/>
          <w:iCs/>
          <w:sz w:val="24"/>
          <w:szCs w:val="24"/>
        </w:rPr>
        <w:t xml:space="preserve"> для самостоятельного предъявления к исполнению.</w:t>
      </w:r>
    </w:p>
    <w:p w14:paraId="26259654" w14:textId="77777777" w:rsidR="00290E40" w:rsidRDefault="00F127DF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B04DFAC" w14:textId="77777777" w:rsidR="00290E40" w:rsidRDefault="00F127DF">
      <w:pPr>
        <w:pStyle w:val="Standard"/>
        <w:jc w:val="both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Денежные средства перечислять по следующим реквизитам:</w:t>
      </w:r>
    </w:p>
    <w:p w14:paraId="55058414" w14:textId="77777777" w:rsidR="00290E40" w:rsidRDefault="00290E40">
      <w:pPr>
        <w:pStyle w:val="Standard"/>
        <w:jc w:val="both"/>
        <w:rPr>
          <w:b/>
          <w:bCs/>
          <w:sz w:val="24"/>
          <w:szCs w:val="24"/>
          <w:shd w:val="clear" w:color="auto" w:fill="FFFFFF"/>
        </w:rPr>
      </w:pPr>
    </w:p>
    <w:tbl>
      <w:tblPr>
        <w:tblW w:w="93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6728"/>
      </w:tblGrid>
      <w:tr w:rsidR="00290E40" w14:paraId="08FC9FAC" w14:textId="77777777"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CEC1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получателя</w:t>
            </w:r>
          </w:p>
        </w:tc>
        <w:tc>
          <w:tcPr>
            <w:tcW w:w="6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093A3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УФК по Ярославской области (ОПФР по Ярославской области)</w:t>
            </w:r>
          </w:p>
        </w:tc>
      </w:tr>
      <w:tr w:rsidR="00290E40" w14:paraId="0F656AF2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63996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ИНН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20DB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7606008723</w:t>
            </w:r>
          </w:p>
        </w:tc>
      </w:tr>
      <w:tr w:rsidR="00290E40" w14:paraId="1FA149F6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48348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КПП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D31EE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760401001</w:t>
            </w:r>
          </w:p>
        </w:tc>
      </w:tr>
      <w:tr w:rsidR="00290E40" w14:paraId="5718463B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F1552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ОКТМО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1B20C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78701000</w:t>
            </w:r>
          </w:p>
        </w:tc>
      </w:tr>
      <w:tr w:rsidR="00290E40" w14:paraId="4FB1F9A1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B3766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92876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ОТДЕЛЕНИЕ ЯРОСЛАВЛЬ БАНКА РОССИИ//УФК по Ярославской области, г. Ярославль</w:t>
            </w:r>
          </w:p>
        </w:tc>
      </w:tr>
      <w:tr w:rsidR="00290E40" w14:paraId="4B1378C2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26941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 банка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E5AA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017888102</w:t>
            </w:r>
          </w:p>
        </w:tc>
      </w:tr>
      <w:tr w:rsidR="00290E40" w14:paraId="7A27DA8C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87B0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Корреспондентский счет банка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E4348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40102810245370000065</w:t>
            </w:r>
          </w:p>
        </w:tc>
      </w:tr>
      <w:tr w:rsidR="00290E40" w14:paraId="352892A8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8324E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счета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EC781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03100643000000017100</w:t>
            </w:r>
          </w:p>
        </w:tc>
      </w:tr>
      <w:tr w:rsidR="00290E40" w14:paraId="08AC8FCA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EF4FF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КБК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9BCCB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39211607090060000140</w:t>
            </w:r>
          </w:p>
        </w:tc>
      </w:tr>
    </w:tbl>
    <w:p w14:paraId="5F14FC44" w14:textId="77777777" w:rsidR="00290E40" w:rsidRDefault="00290E40">
      <w:pPr>
        <w:pStyle w:val="Standard"/>
        <w:jc w:val="both"/>
        <w:rPr>
          <w:sz w:val="24"/>
          <w:szCs w:val="24"/>
        </w:rPr>
      </w:pPr>
    </w:p>
    <w:p w14:paraId="431EAC46" w14:textId="77777777" w:rsidR="00290E40" w:rsidRDefault="00290E40">
      <w:pPr>
        <w:pStyle w:val="Standard"/>
        <w:jc w:val="both"/>
        <w:rPr>
          <w:sz w:val="24"/>
          <w:szCs w:val="24"/>
        </w:rPr>
      </w:pPr>
    </w:p>
    <w:p w14:paraId="0AC3BEAB" w14:textId="77777777" w:rsidR="00290E40" w:rsidRDefault="00F127DF">
      <w:pPr>
        <w:pStyle w:val="Standard"/>
        <w:widowControl w:val="0"/>
        <w:jc w:val="both"/>
        <w:rPr>
          <w:i/>
        </w:rPr>
      </w:pPr>
      <w:r>
        <w:rPr>
          <w:i/>
        </w:rPr>
        <w:t>Приложение:</w:t>
      </w:r>
    </w:p>
    <w:p w14:paraId="1276534E" w14:textId="77777777" w:rsidR="00290E40" w:rsidRDefault="00F127DF">
      <w:pPr>
        <w:pStyle w:val="Standard"/>
        <w:widowControl w:val="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Копия квитанции о направлении </w:t>
      </w:r>
      <w:proofErr w:type="gramStart"/>
      <w:r>
        <w:rPr>
          <w:i/>
        </w:rPr>
        <w:t>копии  заявления</w:t>
      </w:r>
      <w:proofErr w:type="gramEnd"/>
      <w:r>
        <w:rPr>
          <w:i/>
        </w:rPr>
        <w:t xml:space="preserve"> должнику.</w:t>
      </w:r>
    </w:p>
    <w:p w14:paraId="60669F1E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 xml:space="preserve">Копия Акта </w:t>
      </w:r>
      <w:r>
        <w:rPr>
          <w:i/>
          <w:color w:val="000000"/>
          <w:shd w:val="clear" w:color="auto" w:fill="FFFFFF"/>
          <w:lang w:eastAsia="ar-SA"/>
        </w:rPr>
        <w:t>об обнаружении фактов, свидетельствующих о нарушении законодательства Российской Федерации об индивидуальном (персонифицированном) учете в системе обязательного пенсионного страхования.</w:t>
      </w:r>
    </w:p>
    <w:p w14:paraId="5BF31C30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CCFFFF"/>
        </w:rPr>
      </w:pPr>
      <w:r>
        <w:rPr>
          <w:i/>
          <w:shd w:val="clear" w:color="auto" w:fill="FFFFFF"/>
        </w:rPr>
        <w:t xml:space="preserve">Копия Решения о </w:t>
      </w:r>
      <w:r>
        <w:rPr>
          <w:i/>
          <w:color w:val="000000"/>
          <w:shd w:val="clear" w:color="auto" w:fill="FFFFFF"/>
          <w:lang w:eastAsia="ar-SA"/>
        </w:rPr>
        <w:t xml:space="preserve">привлечении страхователя к ответственности за совершение правонарушения                в сфере законодательства Российской Федерации об индивидуальном (персонифицированном) учете в системе обязательного пенсионного </w:t>
      </w:r>
      <w:proofErr w:type="gramStart"/>
      <w:r>
        <w:rPr>
          <w:i/>
          <w:color w:val="000000"/>
          <w:shd w:val="clear" w:color="auto" w:fill="FFFFFF"/>
          <w:lang w:eastAsia="ar-SA"/>
        </w:rPr>
        <w:t>страхования..</w:t>
      </w:r>
      <w:proofErr w:type="gramEnd"/>
    </w:p>
    <w:p w14:paraId="188D328F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CCFFFF"/>
        </w:rPr>
      </w:pPr>
      <w:proofErr w:type="gramStart"/>
      <w:r>
        <w:rPr>
          <w:i/>
          <w:shd w:val="clear" w:color="auto" w:fill="FFFFFF"/>
        </w:rPr>
        <w:t xml:space="preserve">Копия  </w:t>
      </w:r>
      <w:r>
        <w:rPr>
          <w:i/>
          <w:color w:val="000000"/>
          <w:shd w:val="clear" w:color="auto" w:fill="FFFFFF"/>
          <w:lang w:eastAsia="ar-SA"/>
        </w:rPr>
        <w:t>Требования</w:t>
      </w:r>
      <w:proofErr w:type="gramEnd"/>
      <w:r>
        <w:rPr>
          <w:i/>
          <w:color w:val="000000"/>
          <w:shd w:val="clear" w:color="auto" w:fill="FFFFFF"/>
          <w:lang w:eastAsia="ar-SA"/>
        </w:rPr>
        <w:t xml:space="preserve">  </w:t>
      </w:r>
      <w:r>
        <w:rPr>
          <w:rFonts w:eastAsia="Arial"/>
          <w:i/>
          <w:color w:val="000000"/>
          <w:shd w:val="clear" w:color="auto" w:fill="FFFFFF"/>
          <w:lang w:eastAsia="ar-SA"/>
        </w:rPr>
        <w:t>об уплате финансовых санкций за совершение правонарушения в сфере законодательства Российской Федерации об индивидуальном (персонифицированном) учете                    в системе обязательного пенсионного страхования.</w:t>
      </w:r>
    </w:p>
    <w:p w14:paraId="7BD9589C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Реестр поступления платежей.</w:t>
      </w:r>
    </w:p>
    <w:p w14:paraId="5C294F82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Расчет суммы финансовых санкций.</w:t>
      </w:r>
    </w:p>
    <w:p w14:paraId="37DC0B5D" w14:textId="77777777" w:rsidR="00290E40" w:rsidRDefault="00F127DF">
      <w:pPr>
        <w:pStyle w:val="Standard"/>
        <w:widowControl w:val="0"/>
        <w:numPr>
          <w:ilvl w:val="0"/>
          <w:numId w:val="2"/>
        </w:numPr>
        <w:tabs>
          <w:tab w:val="left" w:pos="735"/>
        </w:tabs>
        <w:jc w:val="both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Копия реестра банковских счетов.</w:t>
      </w:r>
    </w:p>
    <w:p w14:paraId="0FACC029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</w:rPr>
      </w:pPr>
      <w:r>
        <w:rPr>
          <w:i/>
        </w:rPr>
        <w:t>Копии выписки из ЕГРЮЛ</w:t>
      </w:r>
      <w:r>
        <w:rPr>
          <w:i/>
          <w:shd w:val="clear" w:color="auto" w:fill="FFFFFF"/>
        </w:rPr>
        <w:t xml:space="preserve"> взыскателя и должника.</w:t>
      </w:r>
    </w:p>
    <w:p w14:paraId="7154A268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Копия выписки из ЕГРЮЛ о завершении реорганизации взыскателя</w:t>
      </w:r>
    </w:p>
    <w:p w14:paraId="56E774DA" w14:textId="77777777" w:rsidR="00290E40" w:rsidRDefault="00F127DF">
      <w:pPr>
        <w:pStyle w:val="Standard"/>
        <w:widowControl w:val="0"/>
        <w:numPr>
          <w:ilvl w:val="0"/>
          <w:numId w:val="2"/>
        </w:numPr>
        <w:tabs>
          <w:tab w:val="left" w:pos="720"/>
        </w:tabs>
        <w:jc w:val="both"/>
      </w:pPr>
      <w:r>
        <w:rPr>
          <w:i/>
          <w:iCs/>
          <w:color w:val="000000"/>
          <w:spacing w:val="-3"/>
          <w:shd w:val="clear" w:color="auto" w:fill="FFFFFF"/>
        </w:rPr>
        <w:t>Копия доверенности представителя ОПФР по Ярославской области</w:t>
      </w:r>
    </w:p>
    <w:p w14:paraId="087ABFD1" w14:textId="77777777" w:rsidR="00290E40" w:rsidRDefault="00F127DF">
      <w:pPr>
        <w:pStyle w:val="Standard"/>
        <w:widowControl w:val="0"/>
        <w:numPr>
          <w:ilvl w:val="0"/>
          <w:numId w:val="2"/>
        </w:numPr>
        <w:tabs>
          <w:tab w:val="left" w:pos="720"/>
        </w:tabs>
        <w:jc w:val="both"/>
      </w:pPr>
      <w:r>
        <w:rPr>
          <w:i/>
          <w:iCs/>
          <w:color w:val="000000"/>
          <w:spacing w:val="-3"/>
          <w:shd w:val="clear" w:color="auto" w:fill="FFFFFF"/>
        </w:rPr>
        <w:t>Копия диплома о высшем юридическом образовании представителя ОПФР по Ярославской области</w:t>
      </w:r>
    </w:p>
    <w:p w14:paraId="681D68A0" w14:textId="77777777" w:rsidR="00290E40" w:rsidRDefault="00290E40">
      <w:pPr>
        <w:pStyle w:val="Standard"/>
        <w:widowControl w:val="0"/>
        <w:tabs>
          <w:tab w:val="left" w:pos="720"/>
        </w:tabs>
        <w:jc w:val="both"/>
        <w:rPr>
          <w:i/>
          <w:iCs/>
          <w:color w:val="000000"/>
          <w:spacing w:val="-3"/>
          <w:shd w:val="clear" w:color="auto" w:fill="FFFFFF"/>
        </w:rPr>
      </w:pPr>
    </w:p>
    <w:p w14:paraId="4B43A8B4" w14:textId="77777777" w:rsidR="00290E40" w:rsidRDefault="00290E40">
      <w:pPr>
        <w:pStyle w:val="Standard"/>
        <w:widowControl w:val="0"/>
        <w:tabs>
          <w:tab w:val="left" w:pos="720"/>
        </w:tabs>
        <w:jc w:val="both"/>
        <w:rPr>
          <w:i/>
          <w:iCs/>
          <w:color w:val="000000"/>
          <w:spacing w:val="-3"/>
          <w:shd w:val="clear" w:color="auto" w:fill="FFFFFF"/>
        </w:rPr>
      </w:pPr>
    </w:p>
    <w:p w14:paraId="7DABCE6A" w14:textId="77777777" w:rsidR="00290E40" w:rsidRDefault="00290E40">
      <w:pPr>
        <w:pStyle w:val="Standard"/>
        <w:widowControl w:val="0"/>
        <w:tabs>
          <w:tab w:val="left" w:pos="720"/>
        </w:tabs>
        <w:jc w:val="both"/>
        <w:rPr>
          <w:i/>
          <w:iCs/>
          <w:color w:val="000000"/>
          <w:spacing w:val="-3"/>
          <w:sz w:val="24"/>
          <w:szCs w:val="24"/>
          <w:shd w:val="clear" w:color="auto" w:fill="FFFFFF"/>
        </w:rPr>
      </w:pPr>
    </w:p>
    <w:p w14:paraId="431AAE38" w14:textId="77777777" w:rsidR="00290E40" w:rsidRDefault="00F127DF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</w:t>
      </w:r>
    </w:p>
    <w:p w14:paraId="719A81F8" w14:textId="77777777" w:rsidR="00290E40" w:rsidRDefault="00F127DF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ОПФР по Ярославской области</w:t>
      </w:r>
    </w:p>
    <w:p w14:paraId="3F391A58" w14:textId="07FB5715" w:rsidR="00290E40" w:rsidRPr="00FA7C98" w:rsidRDefault="00F127DF" w:rsidP="00FA7C98">
      <w:pPr>
        <w:pStyle w:val="Standard"/>
        <w:jc w:val="both"/>
      </w:pPr>
      <w:r>
        <w:rPr>
          <w:color w:val="000000"/>
          <w:sz w:val="24"/>
          <w:szCs w:val="24"/>
        </w:rPr>
        <w:t>по доверенности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                                                                    </w:t>
      </w:r>
      <w:r>
        <w:rPr>
          <w:rFonts w:eastAsia="Calibri"/>
          <w:sz w:val="24"/>
          <w:szCs w:val="24"/>
          <w:lang w:eastAsia="en-US"/>
        </w:rPr>
        <w:t>Д.А. Никитин</w:t>
      </w:r>
    </w:p>
    <w:tbl>
      <w:tblPr>
        <w:tblW w:w="32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"/>
        <w:gridCol w:w="2220"/>
      </w:tblGrid>
      <w:tr w:rsidR="00290E40" w14:paraId="1E9D8894" w14:textId="77777777">
        <w:tc>
          <w:tcPr>
            <w:tcW w:w="10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4833B" w14:textId="77777777" w:rsidR="00290E40" w:rsidRDefault="00F127DF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Телефон:</w:t>
            </w:r>
          </w:p>
        </w:tc>
        <w:tc>
          <w:tcPr>
            <w:tcW w:w="22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B1912" w14:textId="77777777" w:rsidR="00290E40" w:rsidRDefault="00F127DF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(4852) 40-56-00, 40-57-73</w:t>
            </w:r>
          </w:p>
        </w:tc>
      </w:tr>
    </w:tbl>
    <w:p w14:paraId="1C8D62B8" w14:textId="77777777" w:rsidR="00290E40" w:rsidRDefault="00290E40">
      <w:pPr>
        <w:pStyle w:val="Standard"/>
      </w:pPr>
    </w:p>
    <w:sectPr w:rsidR="00290E40">
      <w:pgSz w:w="11906" w:h="16838"/>
      <w:pgMar w:top="1275" w:right="850" w:bottom="100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FEB9" w14:textId="77777777" w:rsidR="005669D3" w:rsidRDefault="005669D3">
      <w:r>
        <w:separator/>
      </w:r>
    </w:p>
  </w:endnote>
  <w:endnote w:type="continuationSeparator" w:id="0">
    <w:p w14:paraId="1AB06CC5" w14:textId="77777777" w:rsidR="005669D3" w:rsidRDefault="0056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tarSymbol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37FEE" w14:textId="77777777" w:rsidR="005669D3" w:rsidRDefault="005669D3">
      <w:r>
        <w:separator/>
      </w:r>
    </w:p>
  </w:footnote>
  <w:footnote w:type="continuationSeparator" w:id="0">
    <w:p w14:paraId="27148B3F" w14:textId="77777777" w:rsidR="005669D3" w:rsidRDefault="00566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B9B"/>
    <w:multiLevelType w:val="multilevel"/>
    <w:tmpl w:val="26DC223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34BD684D"/>
    <w:multiLevelType w:val="multilevel"/>
    <w:tmpl w:val="65060B1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7078DA"/>
    <w:multiLevelType w:val="multilevel"/>
    <w:tmpl w:val="3926C4F8"/>
    <w:styleLink w:val="WW8Num3"/>
    <w:lvl w:ilvl="0">
      <w:start w:val="1"/>
      <w:numFmt w:val="decimal"/>
      <w:lvlText w:val="%1."/>
      <w:lvlJc w:val="left"/>
      <w:pPr>
        <w:ind w:left="0" w:hanging="360"/>
      </w:pPr>
      <w:rPr>
        <w:rFonts w:eastAsia="Times New Roman" w:cs="Times New Roman"/>
        <w:color w:val="auto"/>
        <w:sz w:val="24"/>
        <w:szCs w:val="24"/>
        <w:shd w:val="clear" w:color="auto" w:fill="FFFF00"/>
        <w:lang w:val="ru-RU" w:bidi="ar-S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/>
        <w:b w:val="0"/>
        <w:bCs w:val="0"/>
        <w:iCs/>
        <w:color w:val="000000"/>
        <w:sz w:val="24"/>
        <w:szCs w:val="24"/>
        <w:lang w:val="ru-RU" w:eastAsia="ar-SA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40"/>
    <w:rsid w:val="000E28F0"/>
    <w:rsid w:val="001710C2"/>
    <w:rsid w:val="00290E40"/>
    <w:rsid w:val="004C4496"/>
    <w:rsid w:val="005669D3"/>
    <w:rsid w:val="00C76664"/>
    <w:rsid w:val="00F127DF"/>
    <w:rsid w:val="00FA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6AE3"/>
  <w15:docId w15:val="{239ECA87-D2CA-4201-8E01-17563DE0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</w:pPr>
    <w:rPr>
      <w:color w:val="000000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ascii="Arial" w:eastAsia="Arial" w:hAnsi="Arial" w:cs="Tahoma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10">
    <w:name w:val="Название1"/>
    <w:basedOn w:val="Standard"/>
    <w:pPr>
      <w:suppressLineNumbers/>
      <w:spacing w:before="120" w:after="120"/>
    </w:pPr>
    <w:rPr>
      <w:rFonts w:ascii="Arial" w:eastAsia="Arial" w:hAnsi="Arial" w:cs="Tahoma"/>
      <w:i/>
      <w:iCs/>
      <w:szCs w:val="24"/>
    </w:rPr>
  </w:style>
  <w:style w:type="paragraph" w:customStyle="1" w:styleId="11">
    <w:name w:val="Указатель1"/>
    <w:basedOn w:val="Standard"/>
    <w:pPr>
      <w:suppressLineNumbers/>
    </w:pPr>
    <w:rPr>
      <w:rFonts w:ascii="Arial" w:eastAsia="Arial" w:hAnsi="Arial" w:cs="Tahoma"/>
    </w:rPr>
  </w:style>
  <w:style w:type="paragraph" w:customStyle="1" w:styleId="Textbodyindent">
    <w:name w:val="Text body indent"/>
    <w:basedOn w:val="Standard"/>
    <w:pPr>
      <w:ind w:firstLine="720"/>
      <w:jc w:val="both"/>
    </w:pPr>
    <w:rPr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sPlusTitle">
    <w:name w:val="ConsPlusTitle"/>
    <w:pPr>
      <w:autoSpaceDE w:val="0"/>
      <w:spacing w:after="200" w:line="276" w:lineRule="auto"/>
    </w:pPr>
    <w:rPr>
      <w:rFonts w:ascii="Calibri" w:eastAsia="Times New Roman" w:hAnsi="Calibri" w:cs="Calibri"/>
      <w:b/>
      <w:bCs/>
      <w:sz w:val="22"/>
      <w:szCs w:val="22"/>
      <w:lang w:bidi="ar-SA"/>
    </w:rPr>
  </w:style>
  <w:style w:type="paragraph" w:styleId="20">
    <w:name w:val="Body Text 2"/>
    <w:basedOn w:val="Standard"/>
    <w:pPr>
      <w:spacing w:after="120" w:line="480" w:lineRule="auto"/>
    </w:pPr>
  </w:style>
  <w:style w:type="paragraph" w:customStyle="1" w:styleId="21">
    <w:name w:val="Основной текст 21"/>
    <w:basedOn w:val="Standard"/>
    <w:rPr>
      <w:sz w:val="24"/>
    </w:rPr>
  </w:style>
  <w:style w:type="paragraph" w:customStyle="1" w:styleId="210">
    <w:name w:val="Основной текст с отступом 21"/>
    <w:basedOn w:val="Standard"/>
    <w:pPr>
      <w:ind w:firstLine="567"/>
      <w:jc w:val="both"/>
    </w:pPr>
    <w:rPr>
      <w:b/>
      <w:sz w:val="24"/>
    </w:rPr>
  </w:style>
  <w:style w:type="paragraph" w:customStyle="1" w:styleId="Standarduser">
    <w:name w:val="Standard (user)"/>
    <w:pPr>
      <w:widowControl/>
    </w:pPr>
    <w:rPr>
      <w:rFonts w:eastAsia="Times New Roman" w:cs="Times New Roman"/>
      <w:sz w:val="20"/>
      <w:szCs w:val="20"/>
      <w:lang w:bidi="ar-SA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eastAsia="Times New Roman" w:cs="Times New Roman"/>
      <w:color w:val="auto"/>
      <w:sz w:val="24"/>
      <w:szCs w:val="24"/>
      <w:shd w:val="clear" w:color="auto" w:fill="FFFF00"/>
      <w:lang w:val="ru-RU" w:bidi="ar-SA"/>
    </w:rPr>
  </w:style>
  <w:style w:type="character" w:customStyle="1" w:styleId="Absatz-Standardschriftart">
    <w:name w:val="Absatz-Standardschriftart"/>
  </w:style>
  <w:style w:type="character" w:customStyle="1" w:styleId="12">
    <w:name w:val="Основной шрифт абзаца1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WW8Num3z1">
    <w:name w:val="WW8Num3z1"/>
    <w:rPr>
      <w:rFonts w:cs="Times New Roman"/>
      <w:b w:val="0"/>
      <w:bCs w:val="0"/>
      <w:iCs/>
      <w:color w:val="000000"/>
      <w:sz w:val="24"/>
      <w:szCs w:val="24"/>
      <w:lang w:val="ru-RU" w:eastAsia="ar-SA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Internetlink">
    <w:name w:val="Internet link"/>
    <w:basedOn w:val="a0"/>
    <w:rPr>
      <w:color w:val="0000FF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FCBFB7E7C644D7C529CE219066260DE54C389A9ED631E85F46B87EC0DD40C4D73FB470454i6D5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1E5B4F7AC3B678EAE24390374BAB8C46FDFA3CBE747475697EAAE4604D7D7F625C6E0C1A4KEn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УПФР</dc:creator>
  <cp:lastModifiedBy>Kirill</cp:lastModifiedBy>
  <cp:revision>4</cp:revision>
  <cp:lastPrinted>2021-11-22T11:43:00Z</cp:lastPrinted>
  <dcterms:created xsi:type="dcterms:W3CDTF">2022-06-25T01:08:00Z</dcterms:created>
  <dcterms:modified xsi:type="dcterms:W3CDTF">2022-06-25T01:53:00Z</dcterms:modified>
</cp:coreProperties>
</file>