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rFonts w:ascii="Times New (W1);Times New Roman" w:hAnsi="Times New (W1);Times New Roman" w:cs="Times New (W1);Times New Roman"/>
          <w:b/>
          <w:sz w:val="32"/>
        </w:rPr>
      </w:pPr>
      <w:r>
        <w:rPr>
          <w:rFonts w:cs="Times New (W1);Times New Roman" w:ascii="Times New (W1);Times New Roman" w:hAnsi="Times New (W1);Times New Roman"/>
          <w:b/>
          <w:sz w:val="32"/>
        </w:rPr>
        <w:t>By laws of the Baton Rouge Association of Disability Examiners</w:t>
      </w:r>
    </w:p>
    <w:p>
      <w:pPr>
        <w:pStyle w:val="Normal"/>
        <w:jc w:val="center"/>
        <w:rPr>
          <w:rFonts w:ascii="Times New (W1);Times New Roman" w:hAnsi="Times New (W1);Times New Roman" w:cs="Times New (W1);Times New Roman"/>
          <w:b/>
          <w:sz w:val="32"/>
        </w:rPr>
      </w:pPr>
      <w:r>
        <w:rPr>
          <w:rFonts w:cs="Times New (W1);Times New Roman" w:ascii="Times New (W1);Times New Roman" w:hAnsi="Times New (W1);Times New Roman"/>
          <w:b/>
          <w:sz w:val="32"/>
        </w:rPr>
      </w:r>
    </w:p>
    <w:p>
      <w:pPr>
        <w:pStyle w:val="Normal"/>
        <w:rPr>
          <w:rFonts w:ascii="Times New (W1);Times New Roman" w:hAnsi="Times New (W1);Times New Roman" w:cs="Times New (W1);Times New Roman"/>
          <w:b/>
          <w:sz w:val="32"/>
        </w:rPr>
      </w:pPr>
      <w:r>
        <w:rPr>
          <w:rFonts w:cs="Times New (W1);Times New Roman" w:ascii="Times New (W1);Times New Roman" w:hAnsi="Times New (W1);Times New Roman"/>
          <w:b/>
          <w:sz w:val="32"/>
        </w:rPr>
      </w:r>
    </w:p>
    <w:p>
      <w:pPr>
        <w:pStyle w:val="Normal"/>
        <w:jc w:val="center"/>
        <w:rPr/>
      </w:pPr>
      <w:r>
        <w:rPr/>
        <w:t>Article I</w:t>
      </w:r>
    </w:p>
    <w:p>
      <w:pPr>
        <w:pStyle w:val="Normal"/>
        <w:jc w:val="center"/>
        <w:rPr/>
      </w:pPr>
      <w:r>
        <w:rPr/>
      </w:r>
    </w:p>
    <w:p>
      <w:pPr>
        <w:pStyle w:val="Normal"/>
        <w:jc w:val="center"/>
        <w:rPr>
          <w:rFonts w:ascii="Times New (W1);Times New Roman" w:hAnsi="Times New (W1);Times New Roman" w:cs="Times New (W1);Times New Roman"/>
          <w:caps/>
        </w:rPr>
      </w:pPr>
      <w:r>
        <w:rPr>
          <w:rFonts w:cs="Times New (W1);Times New Roman" w:ascii="Times New (W1);Times New Roman" w:hAnsi="Times New (W1);Times New Roman"/>
          <w:caps/>
        </w:rPr>
        <w:t>Name</w:t>
      </w:r>
    </w:p>
    <w:p>
      <w:pPr>
        <w:pStyle w:val="Normal"/>
        <w:jc w:val="center"/>
        <w:rPr>
          <w:rFonts w:ascii="Times New (W1);Times New Roman" w:hAnsi="Times New (W1);Times New Roman" w:cs="Times New (W1);Times New Roman"/>
          <w:caps/>
        </w:rPr>
      </w:pPr>
      <w:r>
        <w:rPr>
          <w:rFonts w:cs="Times New (W1);Times New Roman" w:ascii="Times New (W1);Times New Roman" w:hAnsi="Times New (W1);Times New Roman"/>
          <w:caps/>
        </w:rPr>
      </w:r>
    </w:p>
    <w:p>
      <w:pPr>
        <w:pStyle w:val="Normal"/>
        <w:rPr/>
      </w:pPr>
      <w:r>
        <w:rPr/>
        <w:t xml:space="preserve">The name of this organization shall be the Baton Rouge Association of Disability Examiners. </w:t>
      </w:r>
    </w:p>
    <w:p>
      <w:pPr>
        <w:pStyle w:val="Normal"/>
        <w:rPr/>
      </w:pPr>
      <w:r>
        <w:rPr/>
      </w:r>
    </w:p>
    <w:p>
      <w:pPr>
        <w:pStyle w:val="Normal"/>
        <w:jc w:val="center"/>
        <w:rPr/>
      </w:pPr>
      <w:r>
        <w:rPr/>
        <w:t>Article II</w:t>
      </w:r>
    </w:p>
    <w:p>
      <w:pPr>
        <w:pStyle w:val="Normal"/>
        <w:jc w:val="center"/>
        <w:rPr/>
      </w:pPr>
      <w:r>
        <w:rPr/>
      </w:r>
    </w:p>
    <w:p>
      <w:pPr>
        <w:pStyle w:val="Normal"/>
        <w:jc w:val="center"/>
        <w:rPr>
          <w:rFonts w:ascii="Times New (W1);Times New Roman" w:hAnsi="Times New (W1);Times New Roman" w:cs="Times New (W1);Times New Roman"/>
          <w:caps/>
        </w:rPr>
      </w:pPr>
      <w:r>
        <w:rPr>
          <w:rFonts w:cs="Times New (W1);Times New Roman" w:ascii="Times New (W1);Times New Roman" w:hAnsi="Times New (W1);Times New Roman"/>
          <w:caps/>
        </w:rPr>
        <w:t>Affiliation</w:t>
      </w:r>
    </w:p>
    <w:p>
      <w:pPr>
        <w:pStyle w:val="Normal"/>
        <w:jc w:val="center"/>
        <w:rPr>
          <w:rFonts w:ascii="Times New (W1);Times New Roman" w:hAnsi="Times New (W1);Times New Roman" w:cs="Times New (W1);Times New Roman"/>
          <w:caps/>
        </w:rPr>
      </w:pPr>
      <w:r>
        <w:rPr>
          <w:rFonts w:cs="Times New (W1);Times New Roman" w:ascii="Times New (W1);Times New Roman" w:hAnsi="Times New (W1);Times New Roman"/>
          <w:caps/>
        </w:rPr>
      </w:r>
    </w:p>
    <w:p>
      <w:pPr>
        <w:pStyle w:val="Normal"/>
        <w:rPr/>
      </w:pPr>
      <w:r>
        <w:rPr/>
        <w:t>The Baton Rouge Association of Disability Examiners is a chapter of the National Association of Disability Examiners.</w:t>
      </w:r>
    </w:p>
    <w:p>
      <w:pPr>
        <w:pStyle w:val="Normal"/>
        <w:rPr/>
      </w:pPr>
      <w:r>
        <w:rPr/>
      </w:r>
    </w:p>
    <w:p>
      <w:pPr>
        <w:pStyle w:val="Normal"/>
        <w:jc w:val="center"/>
        <w:rPr/>
      </w:pPr>
      <w:r>
        <w:rPr/>
        <w:t>Article III</w:t>
      </w:r>
    </w:p>
    <w:p>
      <w:pPr>
        <w:pStyle w:val="Normal"/>
        <w:jc w:val="center"/>
        <w:rPr/>
      </w:pPr>
      <w:r>
        <w:rPr/>
      </w:r>
    </w:p>
    <w:p>
      <w:pPr>
        <w:pStyle w:val="Normal"/>
        <w:jc w:val="center"/>
        <w:rPr>
          <w:rFonts w:ascii="Times New (W1);Times New Roman" w:hAnsi="Times New (W1);Times New Roman" w:cs="Times New (W1);Times New Roman"/>
          <w:caps/>
        </w:rPr>
      </w:pPr>
      <w:r>
        <w:rPr>
          <w:rFonts w:cs="Times New (W1);Times New Roman" w:ascii="Times New (W1);Times New Roman" w:hAnsi="Times New (W1);Times New Roman"/>
          <w:caps/>
        </w:rPr>
        <w:t>Definitions</w:t>
      </w:r>
    </w:p>
    <w:p>
      <w:pPr>
        <w:pStyle w:val="Normal"/>
        <w:jc w:val="center"/>
        <w:rPr>
          <w:rFonts w:ascii="Times New (W1);Times New Roman" w:hAnsi="Times New (W1);Times New Roman" w:cs="Times New (W1);Times New Roman"/>
          <w:caps/>
        </w:rPr>
      </w:pPr>
      <w:r>
        <w:rPr>
          <w:rFonts w:cs="Times New (W1);Times New Roman" w:ascii="Times New (W1);Times New Roman" w:hAnsi="Times New (W1);Times New Roman"/>
          <w:caps/>
        </w:rPr>
      </w:r>
    </w:p>
    <w:p>
      <w:pPr>
        <w:pStyle w:val="Normal"/>
        <w:numPr>
          <w:ilvl w:val="0"/>
          <w:numId w:val="7"/>
        </w:numPr>
        <w:rPr/>
      </w:pPr>
      <w:r>
        <w:rPr/>
        <w:t>Association:  The National Association of Disability Examiners</w:t>
      </w:r>
    </w:p>
    <w:p>
      <w:pPr>
        <w:pStyle w:val="Normal"/>
        <w:ind w:start="360" w:end="0"/>
        <w:rPr/>
      </w:pPr>
      <w:r>
        <w:rPr/>
      </w:r>
    </w:p>
    <w:p>
      <w:pPr>
        <w:pStyle w:val="Normal"/>
        <w:numPr>
          <w:ilvl w:val="0"/>
          <w:numId w:val="7"/>
        </w:numPr>
        <w:rPr/>
      </w:pPr>
      <w:r>
        <w:rPr/>
        <w:t>Region: That geographical area comprising several States, including the State of Louisiana, as designated by the Association.</w:t>
      </w:r>
    </w:p>
    <w:p>
      <w:pPr>
        <w:pStyle w:val="Normal"/>
        <w:rPr/>
      </w:pPr>
      <w:r>
        <w:rPr/>
      </w:r>
    </w:p>
    <w:p>
      <w:pPr>
        <w:pStyle w:val="Normal"/>
        <w:numPr>
          <w:ilvl w:val="0"/>
          <w:numId w:val="7"/>
        </w:numPr>
        <w:rPr/>
      </w:pPr>
      <w:r>
        <w:rPr/>
        <w:t>Chapter:  The Baton Rouge Association of Disability Examiners located in the State Disability Agency.</w:t>
      </w:r>
    </w:p>
    <w:p>
      <w:pPr>
        <w:pStyle w:val="Normal"/>
        <w:rPr/>
      </w:pPr>
      <w:r>
        <w:rPr/>
      </w:r>
    </w:p>
    <w:p>
      <w:pPr>
        <w:pStyle w:val="Normal"/>
        <w:jc w:val="center"/>
        <w:rPr/>
      </w:pPr>
      <w:r>
        <w:rPr/>
        <w:t>Article IV</w:t>
      </w:r>
    </w:p>
    <w:p>
      <w:pPr>
        <w:pStyle w:val="Normal"/>
        <w:jc w:val="center"/>
        <w:rPr/>
      </w:pPr>
      <w:r>
        <w:rPr/>
      </w:r>
    </w:p>
    <w:p>
      <w:pPr>
        <w:pStyle w:val="Normal"/>
        <w:jc w:val="center"/>
        <w:rPr/>
      </w:pPr>
      <w:r>
        <w:rPr/>
        <w:t>PURPOSE</w:t>
      </w:r>
    </w:p>
    <w:p>
      <w:pPr>
        <w:pStyle w:val="Normal"/>
        <w:jc w:val="center"/>
        <w:rPr/>
      </w:pPr>
      <w:r>
        <w:rPr/>
      </w:r>
    </w:p>
    <w:p>
      <w:pPr>
        <w:pStyle w:val="Normal"/>
        <w:numPr>
          <w:ilvl w:val="0"/>
          <w:numId w:val="5"/>
        </w:numPr>
        <w:rPr/>
      </w:pPr>
      <w:r>
        <w:rPr/>
        <w:t xml:space="preserve">To advance the profession of disability insurance claims adjudication. </w:t>
      </w:r>
    </w:p>
    <w:p>
      <w:pPr>
        <w:pStyle w:val="Normal"/>
        <w:ind w:start="360" w:end="0"/>
        <w:rPr/>
      </w:pPr>
      <w:r>
        <w:rPr/>
      </w:r>
    </w:p>
    <w:p>
      <w:pPr>
        <w:pStyle w:val="Normal"/>
        <w:numPr>
          <w:ilvl w:val="0"/>
          <w:numId w:val="5"/>
        </w:numPr>
        <w:rPr/>
      </w:pPr>
      <w:r>
        <w:rPr/>
        <w:t xml:space="preserve">To promote quality of service to the public by the profession. </w:t>
      </w:r>
    </w:p>
    <w:p>
      <w:pPr>
        <w:pStyle w:val="Normal"/>
        <w:rPr/>
      </w:pPr>
      <w:r>
        <w:rPr/>
      </w:r>
    </w:p>
    <w:p>
      <w:pPr>
        <w:pStyle w:val="Normal"/>
        <w:numPr>
          <w:ilvl w:val="0"/>
          <w:numId w:val="5"/>
        </w:numPr>
        <w:rPr/>
      </w:pPr>
      <w:r>
        <w:rPr/>
        <w:t>To provide a forum for member’s concerns.</w:t>
      </w:r>
    </w:p>
    <w:p>
      <w:pPr>
        <w:pStyle w:val="Normal"/>
        <w:rPr/>
      </w:pPr>
      <w:r>
        <w:rPr/>
      </w:r>
    </w:p>
    <w:p>
      <w:pPr>
        <w:pStyle w:val="Normal"/>
        <w:numPr>
          <w:ilvl w:val="0"/>
          <w:numId w:val="5"/>
        </w:numPr>
        <w:rPr/>
      </w:pPr>
      <w:r>
        <w:rPr/>
        <w:t xml:space="preserve">To provide a medium for a social and professional interaction among members. </w:t>
      </w:r>
    </w:p>
    <w:p>
      <w:pPr>
        <w:pStyle w:val="Normal"/>
        <w:rPr/>
      </w:pPr>
      <w:r>
        <w:rPr/>
      </w:r>
      <w:r>
        <w:br w:type="page"/>
      </w:r>
    </w:p>
    <w:p>
      <w:pPr>
        <w:pStyle w:val="Normal"/>
        <w:jc w:val="center"/>
        <w:rPr/>
      </w:pPr>
      <w:r>
        <w:rPr/>
        <w:t>Article V</w:t>
      </w:r>
    </w:p>
    <w:p>
      <w:pPr>
        <w:pStyle w:val="Normal"/>
        <w:jc w:val="center"/>
        <w:rPr/>
      </w:pPr>
      <w:r>
        <w:rPr/>
      </w:r>
    </w:p>
    <w:p>
      <w:pPr>
        <w:pStyle w:val="Normal"/>
        <w:jc w:val="center"/>
        <w:rPr/>
      </w:pPr>
      <w:r>
        <w:rPr/>
        <w:t>MEMBERSHIP</w:t>
      </w:r>
    </w:p>
    <w:p>
      <w:pPr>
        <w:pStyle w:val="Normal"/>
        <w:jc w:val="center"/>
        <w:rPr/>
      </w:pPr>
      <w:r>
        <w:rPr/>
      </w:r>
    </w:p>
    <w:p>
      <w:pPr>
        <w:pStyle w:val="Normal"/>
        <w:rPr/>
      </w:pPr>
      <w:r>
        <w:rPr/>
        <w:t>Membership in the chapter shall consist of those members of the association working or residing in the State (or geographical area) of the City of Baton Rouge.</w:t>
      </w:r>
    </w:p>
    <w:p>
      <w:pPr>
        <w:pStyle w:val="Normal"/>
        <w:rPr/>
      </w:pPr>
      <w:r>
        <w:rPr/>
      </w:r>
    </w:p>
    <w:p>
      <w:pPr>
        <w:pStyle w:val="Normal"/>
        <w:jc w:val="center"/>
        <w:rPr/>
      </w:pPr>
      <w:r>
        <w:rPr/>
        <w:t>Article VI</w:t>
      </w:r>
    </w:p>
    <w:p>
      <w:pPr>
        <w:pStyle w:val="Normal"/>
        <w:jc w:val="center"/>
        <w:rPr/>
      </w:pPr>
      <w:r>
        <w:rPr/>
      </w:r>
    </w:p>
    <w:p>
      <w:pPr>
        <w:pStyle w:val="Normal"/>
        <w:jc w:val="center"/>
        <w:rPr/>
      </w:pPr>
      <w:r>
        <w:rPr/>
        <w:t>FINANCES</w:t>
      </w:r>
    </w:p>
    <w:p>
      <w:pPr>
        <w:pStyle w:val="Normal"/>
        <w:jc w:val="center"/>
        <w:rPr/>
      </w:pPr>
      <w:r>
        <w:rPr/>
      </w:r>
    </w:p>
    <w:p>
      <w:pPr>
        <w:pStyle w:val="Normal"/>
        <w:numPr>
          <w:ilvl w:val="0"/>
          <w:numId w:val="2"/>
        </w:numPr>
        <w:rPr/>
      </w:pPr>
      <w:r>
        <w:rPr/>
        <w:t>Dues. There shall be no dues except for Association Membership.</w:t>
      </w:r>
    </w:p>
    <w:p>
      <w:pPr>
        <w:pStyle w:val="Normal"/>
        <w:ind w:start="360" w:end="0"/>
        <w:rPr/>
      </w:pPr>
      <w:r>
        <w:rPr/>
      </w:r>
    </w:p>
    <w:p>
      <w:pPr>
        <w:pStyle w:val="Normal"/>
        <w:numPr>
          <w:ilvl w:val="0"/>
          <w:numId w:val="2"/>
        </w:numPr>
        <w:rPr/>
      </w:pPr>
      <w:r>
        <w:rPr/>
        <w:t>Fiscal and membership years shall coincide with those of the association.</w:t>
      </w:r>
    </w:p>
    <w:p>
      <w:pPr>
        <w:pStyle w:val="Normal"/>
        <w:rPr/>
      </w:pPr>
      <w:r>
        <w:rPr/>
      </w:r>
    </w:p>
    <w:p>
      <w:pPr>
        <w:pStyle w:val="Normal"/>
        <w:numPr>
          <w:ilvl w:val="0"/>
          <w:numId w:val="2"/>
        </w:numPr>
        <w:rPr/>
      </w:pPr>
      <w:r>
        <w:rPr/>
        <w:t>Rebates shall be requested by the chapter in accordance with Regional Policy.</w:t>
      </w:r>
    </w:p>
    <w:p>
      <w:pPr>
        <w:pStyle w:val="Normal"/>
        <w:rPr/>
      </w:pPr>
      <w:r>
        <w:rPr/>
      </w:r>
    </w:p>
    <w:p>
      <w:pPr>
        <w:pStyle w:val="Normal"/>
        <w:jc w:val="center"/>
        <w:rPr/>
      </w:pPr>
      <w:r>
        <w:rPr/>
        <w:t>Article VII</w:t>
      </w:r>
    </w:p>
    <w:p>
      <w:pPr>
        <w:pStyle w:val="Normal"/>
        <w:jc w:val="center"/>
        <w:rPr/>
      </w:pPr>
      <w:r>
        <w:rPr/>
      </w:r>
    </w:p>
    <w:p>
      <w:pPr>
        <w:pStyle w:val="Normal"/>
        <w:jc w:val="center"/>
        <w:rPr/>
      </w:pPr>
      <w:r>
        <w:rPr/>
        <w:t>EXECUTIVE BOARD</w:t>
      </w:r>
    </w:p>
    <w:p>
      <w:pPr>
        <w:pStyle w:val="Normal"/>
        <w:jc w:val="center"/>
        <w:rPr/>
      </w:pPr>
      <w:r>
        <w:rPr/>
      </w:r>
    </w:p>
    <w:p>
      <w:pPr>
        <w:pStyle w:val="Normal"/>
        <w:numPr>
          <w:ilvl w:val="0"/>
          <w:numId w:val="4"/>
        </w:numPr>
        <w:rPr/>
      </w:pPr>
      <w:r>
        <w:rPr/>
        <w:t xml:space="preserve">The chapter executive board shall consist of the officers of the Chapter, the immediate Past President, the President-Elect, the Secretary, the Treasurer, a one year Board Member and a two year Board Member. </w:t>
      </w:r>
    </w:p>
    <w:p>
      <w:pPr>
        <w:pStyle w:val="Normal"/>
        <w:ind w:start="360" w:end="0"/>
        <w:rPr/>
      </w:pPr>
      <w:r>
        <w:rPr/>
      </w:r>
    </w:p>
    <w:p>
      <w:pPr>
        <w:pStyle w:val="Normal"/>
        <w:numPr>
          <w:ilvl w:val="0"/>
          <w:numId w:val="4"/>
        </w:numPr>
        <w:rPr/>
      </w:pPr>
      <w:r>
        <w:rPr/>
        <w:t xml:space="preserve">The Executive Board shall meet the week prior to the general assembly and at the call of the President. Additional meetings may be called at the request of a majority of the board. </w:t>
      </w:r>
    </w:p>
    <w:p>
      <w:pPr>
        <w:pStyle w:val="Normal"/>
        <w:rPr/>
      </w:pPr>
      <w:r>
        <w:rPr/>
      </w:r>
    </w:p>
    <w:p>
      <w:pPr>
        <w:pStyle w:val="Normal"/>
        <w:numPr>
          <w:ilvl w:val="0"/>
          <w:numId w:val="4"/>
        </w:numPr>
        <w:rPr/>
      </w:pPr>
      <w:r>
        <w:rPr/>
        <w:t>The Executive Board shall conduct the affairs of the Chapter between the meetings of the membership and:</w:t>
      </w:r>
    </w:p>
    <w:p>
      <w:pPr>
        <w:pStyle w:val="Normal"/>
        <w:rPr/>
      </w:pPr>
      <w:r>
        <w:rPr/>
      </w:r>
    </w:p>
    <w:p>
      <w:pPr>
        <w:pStyle w:val="Normal"/>
        <w:numPr>
          <w:ilvl w:val="1"/>
          <w:numId w:val="4"/>
        </w:numPr>
        <w:rPr/>
      </w:pPr>
      <w:r>
        <w:rPr/>
        <w:t>Shall adopt a budget and expend funds from the treasury.</w:t>
      </w:r>
    </w:p>
    <w:p>
      <w:pPr>
        <w:pStyle w:val="Normal"/>
        <w:ind w:start="1080" w:end="0"/>
        <w:rPr/>
      </w:pPr>
      <w:r>
        <w:rPr/>
      </w:r>
    </w:p>
    <w:p>
      <w:pPr>
        <w:pStyle w:val="Normal"/>
        <w:numPr>
          <w:ilvl w:val="1"/>
          <w:numId w:val="4"/>
        </w:numPr>
        <w:rPr/>
      </w:pPr>
      <w:r>
        <w:rPr/>
        <w:t>Shall fix the time and place for the meetings of the membership.</w:t>
      </w:r>
    </w:p>
    <w:p>
      <w:pPr>
        <w:pStyle w:val="Normal"/>
        <w:rPr/>
      </w:pPr>
      <w:r>
        <w:rPr/>
      </w:r>
    </w:p>
    <w:p>
      <w:pPr>
        <w:pStyle w:val="Normal"/>
        <w:numPr>
          <w:ilvl w:val="1"/>
          <w:numId w:val="4"/>
        </w:numPr>
        <w:rPr/>
      </w:pPr>
      <w:r>
        <w:rPr/>
        <w:t>Shall fill by its own vote, offices or Board positions which have become vacant between elections.</w:t>
      </w:r>
    </w:p>
    <w:p>
      <w:pPr>
        <w:pStyle w:val="Normal"/>
        <w:rPr/>
      </w:pPr>
      <w:r>
        <w:rPr/>
      </w:r>
    </w:p>
    <w:p>
      <w:pPr>
        <w:pStyle w:val="Normal"/>
        <w:numPr>
          <w:ilvl w:val="1"/>
          <w:numId w:val="4"/>
        </w:numPr>
        <w:rPr/>
      </w:pPr>
      <w:r>
        <w:rPr/>
        <w:t>Shall act only when a quorum is present, which shall be a majority of the board.</w:t>
      </w:r>
    </w:p>
    <w:p>
      <w:pPr>
        <w:pStyle w:val="Normal"/>
        <w:rPr/>
      </w:pPr>
      <w:r>
        <w:rPr/>
      </w:r>
      <w:r>
        <w:br w:type="page"/>
      </w:r>
    </w:p>
    <w:p>
      <w:pPr>
        <w:pStyle w:val="Normal"/>
        <w:jc w:val="center"/>
        <w:rPr/>
      </w:pPr>
      <w:r>
        <w:rPr/>
        <w:t>Article VIII</w:t>
      </w:r>
    </w:p>
    <w:p>
      <w:pPr>
        <w:pStyle w:val="Normal"/>
        <w:jc w:val="center"/>
        <w:rPr/>
      </w:pPr>
      <w:r>
        <w:rPr/>
      </w:r>
    </w:p>
    <w:p>
      <w:pPr>
        <w:pStyle w:val="Normal"/>
        <w:jc w:val="center"/>
        <w:rPr/>
      </w:pPr>
      <w:r>
        <w:rPr/>
        <w:t>OFFICERS</w:t>
      </w:r>
    </w:p>
    <w:p>
      <w:pPr>
        <w:pStyle w:val="Normal"/>
        <w:jc w:val="center"/>
        <w:rPr/>
      </w:pPr>
      <w:r>
        <w:rPr/>
      </w:r>
    </w:p>
    <w:p>
      <w:pPr>
        <w:pStyle w:val="Normal"/>
        <w:numPr>
          <w:ilvl w:val="0"/>
          <w:numId w:val="1"/>
        </w:numPr>
        <w:rPr/>
      </w:pPr>
      <w:r>
        <w:rPr/>
        <w:t>The Chapter shall elect a President, a President-Elect, a Secretary, a Treasurer and a One Year board member on an annual basis. The Two Year Board Member shall be elected on a biannual basis.</w:t>
      </w:r>
    </w:p>
    <w:p>
      <w:pPr>
        <w:pStyle w:val="Normal"/>
        <w:ind w:start="360" w:end="0"/>
        <w:rPr/>
      </w:pPr>
      <w:r>
        <w:rPr/>
      </w:r>
    </w:p>
    <w:p>
      <w:pPr>
        <w:pStyle w:val="Normal"/>
        <w:numPr>
          <w:ilvl w:val="0"/>
          <w:numId w:val="1"/>
        </w:numPr>
        <w:rPr/>
      </w:pPr>
      <w:r>
        <w:rPr/>
        <w:t xml:space="preserve">Terms of office shall be for one year, except as otherwise stated, with re-election permissible for only one additional term. </w:t>
      </w:r>
    </w:p>
    <w:p>
      <w:pPr>
        <w:pStyle w:val="Normal"/>
        <w:rPr/>
      </w:pPr>
      <w:r>
        <w:rPr/>
      </w:r>
    </w:p>
    <w:p>
      <w:pPr>
        <w:pStyle w:val="Normal"/>
        <w:numPr>
          <w:ilvl w:val="0"/>
          <w:numId w:val="1"/>
        </w:numPr>
        <w:rPr/>
      </w:pPr>
      <w:r>
        <w:rPr/>
        <w:t xml:space="preserve">Officers shall perform those duties usually associated with their respective positions. Additional duties may be assigned by the President and/or the Executive Board. </w:t>
      </w:r>
    </w:p>
    <w:p>
      <w:pPr>
        <w:pStyle w:val="Normal"/>
        <w:rPr/>
      </w:pPr>
      <w:r>
        <w:rPr/>
      </w:r>
    </w:p>
    <w:p>
      <w:pPr>
        <w:pStyle w:val="Normal"/>
        <w:numPr>
          <w:ilvl w:val="0"/>
          <w:numId w:val="1"/>
        </w:numPr>
        <w:rPr/>
      </w:pPr>
      <w:r>
        <w:rPr/>
        <w:t>The Representative to the Regional Board shall be the Chapter President or the President-Elect or the Past President in the absence of the President.</w:t>
      </w:r>
    </w:p>
    <w:p>
      <w:pPr>
        <w:pStyle w:val="Normal"/>
        <w:rPr/>
      </w:pPr>
      <w:r>
        <w:rPr/>
      </w:r>
    </w:p>
    <w:p>
      <w:pPr>
        <w:pStyle w:val="Normal"/>
        <w:jc w:val="center"/>
        <w:rPr/>
      </w:pPr>
      <w:r>
        <w:rPr/>
        <w:t>Article IX</w:t>
      </w:r>
    </w:p>
    <w:p>
      <w:pPr>
        <w:pStyle w:val="Normal"/>
        <w:jc w:val="center"/>
        <w:rPr/>
      </w:pPr>
      <w:r>
        <w:rPr/>
      </w:r>
    </w:p>
    <w:p>
      <w:pPr>
        <w:pStyle w:val="Normal"/>
        <w:jc w:val="center"/>
        <w:rPr/>
      </w:pPr>
      <w:r>
        <w:rPr/>
        <w:t>MEETINGS</w:t>
      </w:r>
    </w:p>
    <w:p>
      <w:pPr>
        <w:pStyle w:val="Normal"/>
        <w:jc w:val="center"/>
        <w:rPr/>
      </w:pPr>
      <w:r>
        <w:rPr/>
      </w:r>
    </w:p>
    <w:p>
      <w:pPr>
        <w:pStyle w:val="Normal"/>
        <w:numPr>
          <w:ilvl w:val="0"/>
          <w:numId w:val="6"/>
        </w:numPr>
        <w:rPr/>
      </w:pPr>
      <w:r>
        <w:rPr/>
        <w:t xml:space="preserve">Meetings of the Chapter shall be held monthly at a time and place to be determined by the Executive Board. Additional meetings may be held at the call of the President as necessary, and at the request of the majority of the members of the Chapter. </w:t>
      </w:r>
    </w:p>
    <w:p>
      <w:pPr>
        <w:pStyle w:val="Normal"/>
        <w:ind w:start="360" w:end="0"/>
        <w:rPr/>
      </w:pPr>
      <w:r>
        <w:rPr/>
      </w:r>
    </w:p>
    <w:p>
      <w:pPr>
        <w:pStyle w:val="Normal"/>
        <w:numPr>
          <w:ilvl w:val="0"/>
          <w:numId w:val="6"/>
        </w:numPr>
        <w:rPr/>
      </w:pPr>
      <w:r>
        <w:rPr/>
        <w:t>The meetings shall be governed by the latest edition of Robert’s Rules of Oder, in so far as they do not conflict with these bylaws or any rules adopted by the Executive Board of Membership.</w:t>
      </w:r>
    </w:p>
    <w:p>
      <w:pPr>
        <w:pStyle w:val="Normal"/>
        <w:rPr/>
      </w:pPr>
      <w:r>
        <w:rPr/>
      </w:r>
    </w:p>
    <w:p>
      <w:pPr>
        <w:pStyle w:val="Normal"/>
        <w:jc w:val="center"/>
        <w:rPr/>
      </w:pPr>
      <w:r>
        <w:rPr/>
        <w:t>Article X</w:t>
      </w:r>
    </w:p>
    <w:p>
      <w:pPr>
        <w:pStyle w:val="Normal"/>
        <w:jc w:val="center"/>
        <w:rPr/>
      </w:pPr>
      <w:r>
        <w:rPr/>
      </w:r>
    </w:p>
    <w:p>
      <w:pPr>
        <w:pStyle w:val="Normal"/>
        <w:jc w:val="center"/>
        <w:rPr/>
      </w:pPr>
      <w:r>
        <w:rPr/>
        <w:t>COMMITTEES</w:t>
      </w:r>
    </w:p>
    <w:p>
      <w:pPr>
        <w:pStyle w:val="Normal"/>
        <w:jc w:val="center"/>
        <w:rPr/>
      </w:pPr>
      <w:r>
        <w:rPr/>
      </w:r>
    </w:p>
    <w:p>
      <w:pPr>
        <w:pStyle w:val="Normal"/>
        <w:numPr>
          <w:ilvl w:val="0"/>
          <w:numId w:val="3"/>
        </w:numPr>
        <w:rPr/>
      </w:pPr>
      <w:r>
        <w:rPr/>
        <w:t>Standing. At the first quarter General Assembly, the incoming President shall announce, subject to confirmation by those present and voting, chairs of the following Committees:</w:t>
      </w:r>
    </w:p>
    <w:p>
      <w:pPr>
        <w:pStyle w:val="Normal"/>
        <w:ind w:start="360" w:end="0"/>
        <w:rPr/>
      </w:pPr>
      <w:r>
        <w:rPr/>
      </w:r>
    </w:p>
    <w:p>
      <w:pPr>
        <w:pStyle w:val="Normal"/>
        <w:numPr>
          <w:ilvl w:val="1"/>
          <w:numId w:val="3"/>
        </w:numPr>
        <w:rPr/>
      </w:pPr>
      <w:r>
        <w:rPr/>
        <w:t>Membership. This committee shall plan the membership campaign and publicize Chapter, Regional and Association reports and materials.</w:t>
      </w:r>
    </w:p>
    <w:p>
      <w:pPr>
        <w:pStyle w:val="Normal"/>
        <w:ind w:start="1080" w:end="0"/>
        <w:rPr/>
      </w:pPr>
      <w:r>
        <w:rPr/>
      </w:r>
    </w:p>
    <w:p>
      <w:pPr>
        <w:pStyle w:val="Normal"/>
        <w:numPr>
          <w:ilvl w:val="1"/>
          <w:numId w:val="3"/>
        </w:numPr>
        <w:rPr/>
      </w:pPr>
      <w:r>
        <w:rPr/>
        <w:t>Training. This committee shall work with the Executive Board in planning activities of the Chapter.</w:t>
      </w:r>
    </w:p>
    <w:p>
      <w:pPr>
        <w:pStyle w:val="Normal"/>
        <w:rPr/>
      </w:pPr>
      <w:r>
        <w:rPr/>
      </w:r>
    </w:p>
    <w:p>
      <w:pPr>
        <w:pStyle w:val="Normal"/>
        <w:numPr>
          <w:ilvl w:val="1"/>
          <w:numId w:val="3"/>
        </w:numPr>
        <w:rPr/>
      </w:pPr>
      <w:r>
        <w:rPr/>
        <w:t>Nominations. There shall be a nominating committee in the Chapter (consisting of at least three persons) which shall seek candidates for each of the elective offices.</w:t>
      </w:r>
    </w:p>
    <w:p>
      <w:pPr>
        <w:pStyle w:val="Normal"/>
        <w:rPr/>
      </w:pPr>
      <w:r>
        <w:rPr/>
      </w:r>
    </w:p>
    <w:p>
      <w:pPr>
        <w:pStyle w:val="Normal"/>
        <w:numPr>
          <w:ilvl w:val="0"/>
          <w:numId w:val="3"/>
        </w:numPr>
        <w:rPr/>
      </w:pPr>
      <w:r>
        <w:rPr/>
        <w:t>Ad Hoc. The President may also appoint other special committees as necessary, with the approval of the appropriate Executive Board.</w:t>
      </w:r>
    </w:p>
    <w:p>
      <w:pPr>
        <w:pStyle w:val="Normal"/>
        <w:rPr/>
      </w:pPr>
      <w:r>
        <w:rPr/>
      </w:r>
    </w:p>
    <w:p>
      <w:pPr>
        <w:pStyle w:val="Normal"/>
        <w:jc w:val="center"/>
        <w:rPr/>
      </w:pPr>
      <w:r>
        <w:rPr/>
        <w:t>Article XI</w:t>
      </w:r>
    </w:p>
    <w:p>
      <w:pPr>
        <w:pStyle w:val="Normal"/>
        <w:jc w:val="center"/>
        <w:rPr/>
      </w:pPr>
      <w:r>
        <w:rPr/>
      </w:r>
    </w:p>
    <w:p>
      <w:pPr>
        <w:pStyle w:val="Normal"/>
        <w:jc w:val="center"/>
        <w:rPr/>
      </w:pPr>
      <w:r>
        <w:rPr/>
        <w:t>AMENDMENTS</w:t>
      </w:r>
    </w:p>
    <w:p>
      <w:pPr>
        <w:pStyle w:val="Normal"/>
        <w:jc w:val="center"/>
        <w:rPr/>
      </w:pPr>
      <w:r>
        <w:rPr/>
      </w:r>
    </w:p>
    <w:p>
      <w:pPr>
        <w:pStyle w:val="Normal"/>
        <w:numPr>
          <w:ilvl w:val="0"/>
          <w:numId w:val="8"/>
        </w:numPr>
        <w:rPr/>
      </w:pPr>
      <w:r>
        <w:rPr/>
        <w:t xml:space="preserve">An amendment may be presented by the majority of the Executive Board and shall become effective upon ratification by two-thirds of the members present and voting at any membership meeting. </w:t>
      </w:r>
    </w:p>
    <w:p>
      <w:pPr>
        <w:pStyle w:val="Normal"/>
        <w:ind w:start="360" w:end="0"/>
        <w:rPr/>
      </w:pPr>
      <w:r>
        <w:rPr/>
      </w:r>
    </w:p>
    <w:p>
      <w:pPr>
        <w:pStyle w:val="Normal"/>
        <w:numPr>
          <w:ilvl w:val="0"/>
          <w:numId w:val="8"/>
        </w:numPr>
        <w:rPr/>
      </w:pPr>
      <w:r>
        <w:rPr/>
        <w:t xml:space="preserve">An amendment may be proposed by a majority of members present at a membership meeting, which shall then be referred to an Ad Hoc Committee for study. Such amendment shall be presented at the next membership meeting, and may become effective when approved by a two-thirds vote. </w:t>
      </w:r>
    </w:p>
    <w:p>
      <w:pPr>
        <w:pStyle w:val="Normal"/>
        <w:jc w:val="center"/>
        <w:rPr/>
      </w:pPr>
      <w:r>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W1)">
    <w:altName w:val="Times New Roman"/>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margin">
                <wp:align>right</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2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abstractNum>
  <w:abstractNum w:abstractNumId="2">
    <w:lvl w:ilvl="0">
      <w:start w:val="1"/>
      <w:numFmt w:val="decimal"/>
      <w:lvlText w:val="%1."/>
      <w:lvlJc w:val="start"/>
      <w:pPr>
        <w:tabs>
          <w:tab w:val="num" w:pos="720"/>
        </w:tabs>
        <w:ind w:start="720" w:hanging="360"/>
      </w:pPr>
      <w:rPr/>
    </w:lvl>
  </w:abstractNum>
  <w:abstractNum w:abstractNumId="3">
    <w:lvl w:ilvl="0">
      <w:start w:val="1"/>
      <w:numFmt w:val="decimal"/>
      <w:lvlText w:val="%1."/>
      <w:lvlJc w:val="start"/>
      <w:pPr>
        <w:tabs>
          <w:tab w:val="num" w:pos="720"/>
        </w:tabs>
        <w:ind w:start="720" w:hanging="360"/>
      </w:pPr>
      <w:r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4">
    <w:lvl w:ilvl="0">
      <w:start w:val="1"/>
      <w:numFmt w:val="decimal"/>
      <w:lvlText w:val="%1."/>
      <w:lvlJc w:val="start"/>
      <w:pPr>
        <w:tabs>
          <w:tab w:val="num" w:pos="720"/>
        </w:tabs>
        <w:ind w:start="720" w:hanging="360"/>
      </w:pPr>
      <w:r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5">
    <w:lvl w:ilvl="0">
      <w:start w:val="1"/>
      <w:numFmt w:val="decimal"/>
      <w:lvlText w:val="%1."/>
      <w:lvlJc w:val="start"/>
      <w:pPr>
        <w:tabs>
          <w:tab w:val="num" w:pos="720"/>
        </w:tabs>
        <w:ind w:start="720" w:hanging="360"/>
      </w:pPr>
      <w:rPr/>
    </w:lvl>
  </w:abstractNum>
  <w:abstractNum w:abstractNumId="6">
    <w:lvl w:ilvl="0">
      <w:start w:val="1"/>
      <w:numFmt w:val="decimal"/>
      <w:lvlText w:val="%1."/>
      <w:lvlJc w:val="start"/>
      <w:pPr>
        <w:tabs>
          <w:tab w:val="num" w:pos="720"/>
        </w:tabs>
        <w:ind w:start="720" w:hanging="360"/>
      </w:pPr>
      <w:rPr/>
    </w:lvl>
  </w:abstractNum>
  <w:abstractNum w:abstractNumId="7">
    <w:lvl w:ilvl="0">
      <w:start w:val="1"/>
      <w:numFmt w:val="decimal"/>
      <w:lvlText w:val="%1."/>
      <w:lvlJc w:val="start"/>
      <w:pPr>
        <w:tabs>
          <w:tab w:val="num" w:pos="720"/>
        </w:tabs>
        <w:ind w:start="720" w:hanging="360"/>
      </w:pPr>
      <w:rPr/>
    </w:lvl>
  </w:abstractNum>
  <w:abstractNum w:abstractNumId="8">
    <w:lvl w:ilvl="0">
      <w:start w:val="1"/>
      <w:numFmt w:val="decimal"/>
      <w:lvlText w:val="%1."/>
      <w:lvlJc w:val="start"/>
      <w:pPr>
        <w:tabs>
          <w:tab w:val="num" w:pos="720"/>
        </w:tabs>
        <w:ind w:start="720" w:hanging="36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ËÎÌå" w:cs="Times New Roman"/>
      <w:color w:val="auto"/>
      <w:sz w:val="24"/>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2010-03-25T07:31:00Z</dcterms:created>
  <dc:creator>855447</dc:creator>
  <dc:description/>
  <cp:keywords/>
  <dc:language>en-US</dc:language>
  <cp:lastModifiedBy>189259</cp:lastModifiedBy>
  <dcterms:modified xsi:type="dcterms:W3CDTF">2010-03-25T07:31:00Z</dcterms:modified>
  <cp:revision>2</cp:revision>
  <dc:subject/>
  <dc:title>By laws of the Baton Rouge Association of Disability Examiners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-1201209220</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SW Region const &amp; bylaws</vt:lpwstr>
  </property>
  <property fmtid="{D5CDD505-2E9C-101B-9397-08002B2CF9AE}" pid="6" name="_NewReviewCycle">
    <vt:lpwstr/>
  </property>
  <property fmtid="{D5CDD505-2E9C-101B-9397-08002B2CF9AE}" pid="7" name="_PreviousAdHocReviewCycleID">
    <vt:r8>1428584347</vt:r8>
  </property>
</Properties>
</file>