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AI GOVERNANCE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AI System Governance Framework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AI Governance Framework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AI system we build, integrate, procure, or use. In-house, vendor SaaS, and agentic.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Inventory + use-case approval + risk classification (EU AI Act-aligned) + human oversight + incident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AI governance is the fastest-evolving regulatory area we touch. Documentation is the moat.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+ on each new use case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Tier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0"/>
        <w:gridCol w:w="226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Tier</w:t>
            </w:r>
          </w:p>
        </w:tc>
        <w:tc>
          <w:tcPr>
            <w:tcW w:type="dxa" w:w="6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Use Case</w:t>
            </w:r>
          </w:p>
        </w:tc>
        <w:tc>
          <w:tcPr>
            <w:tcW w:type="dxa" w:w="22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Approval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Internal productivity, no individual impact.</w:t>
            </w:r>
          </w:p>
        </w:tc>
        <w:tc>
          <w:tcPr>
            <w:tcW w:type="dxa" w:w="22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Customer-facing with disclosure obligations.</w:t>
            </w:r>
          </w:p>
        </w:tc>
        <w:tc>
          <w:tcPr>
            <w:tcW w:type="dxa" w:w="22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 + Privacy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High-risk decisions about individuals.</w:t>
            </w:r>
          </w:p>
        </w:tc>
        <w:tc>
          <w:tcPr>
            <w:tcW w:type="dxa" w:w="22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 + Privacy + Approver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Prohibited / restricted by law. Default: no.</w:t>
            </w:r>
          </w:p>
        </w:tc>
        <w:tc>
          <w:tcPr>
            <w:tcW w:type="dxa" w:w="22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+ Legal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Required Documentation Per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Inventory entry (unique ID, owner, tier, last review).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Use Case Record (problem, population, alternatives, criteria, oversight).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Model Card (intended use, training data, evaluation, failure modes, guardrails, monitoring).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Agent Registry entry if agentic.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Data Rules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 Restricted or Confidential data in unreviewed AI tools. Vendor must contractually ban training on customer data. Training data is cataloged. Models trained on Restricted data ARE Restricted.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Incident Reporting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AI incidents → Incident Response Plan within 4 business hours. Categories: accuracy regression, bias, prompt injection, unintended agent action, privacy/regulatory implication, vendor incident.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AI Governance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the framework, the AI system inventory, and the use-case approval pipeline.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Approves new AI use cases above the lightweight threshold; signs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Model / Use Case Owner (per system)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Owns documentation, monitoring, and incident response for a specific AI system or use case.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Privacy Officer / 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Reviews AI use cases involving personal data, automated decision-making, or high-risk classifications.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AI System Operator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Operates the AI system per documented procedures; escalates incidents through documented channels.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any new AI use case, change in EU AI Act guidance, or material model change.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Acceptable Use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Vendor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Response Plan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AI System Governance Framework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System Governance Framework</dc:title>
  <dc:creator>Midnight</dc:creator>
  <dc:description>AI Governance</dc:description>
  <cp:lastModifiedBy>Un-named</cp:lastModifiedBy>
  <cp:revision>1</cp:revision>
  <dcterms:created xsi:type="dcterms:W3CDTF">2026-05-16T15:48:02.965Z</dcterms:created>
  <dcterms:modified xsi:type="dcterms:W3CDTF">2026-05-16T15:48:02.965Z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