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/>
      </w:r>
    </w:p>
    <w:p>
      <w:pPr>
        <w:spacing w:after="80" w:before="0"/>
        <w:jc w:val="center"/>
      </w:pPr>
      <w:r>
        <w:rPr>
          <w:rFonts w:ascii="Calibri Light" w:cs="Calibri Light" w:eastAsia="Calibri Light" w:hAnsi="Calibri Light"/>
          <w:b/>
          <w:bCs/>
          <w:color w:val="8A93A6"/>
          <w:sz w:val="24"/>
          <w:szCs w:val="24"/>
        </w:rPr>
        <w:t xml:space="preserve">[LOGO: organization_logo.png]</w:t>
      </w:r>
    </w:p>
    <w:p>
      <w:pPr>
        <w:spacing w:after="1200" w:before="0"/>
        <w:jc w:val="center"/>
      </w:pPr>
      <w:r>
        <w:rPr>
          <w:rFonts w:ascii="Calibri" w:cs="Calibri" w:eastAsia="Calibri" w:hAnsi="Calibri"/>
          <w:color w:val="8A93A6"/>
          <w:sz w:val="18"/>
          <w:szCs w:val="18"/>
        </w:rPr>
        <w:t xml:space="preserve">(Reserve 2" x 2" — center)</w:t>
      </w:r>
    </w:p>
    <w:p>
      <w:pPr>
        <w:pBdr>
          <w:bottom w:val="single" w:color="00D4F5" w:sz="24" w:space="1"/>
        </w:pBdr>
        <w:spacing w:after="200" w:before="80"/>
      </w:pPr>
      <w:r>
        <w:t xml:space="preserve"/>
      </w:r>
    </w:p>
    <w:p>
      <w:pPr>
        <w:spacing w:after="100" w:before="0"/>
        <w:jc w:val="center"/>
      </w:pPr>
      <w:r>
        <w:rPr>
          <w:rFonts w:ascii="Calibri Light" w:cs="Calibri Light" w:eastAsia="Calibri Light" w:hAnsi="Calibri Light"/>
          <w:b/>
          <w:bCs/>
          <w:color w:val="0094B0"/>
          <w:spacing w:val="100"/>
          <w:sz w:val="24"/>
          <w:szCs w:val="24"/>
        </w:rPr>
        <w:t xml:space="preserve">AUDIT PACKAGE</w:t>
      </w:r>
    </w:p>
    <w:p>
      <w:pPr>
        <w:spacing w:after="200" w:before="0"/>
        <w:jc w:val="center"/>
      </w:pPr>
      <w:r>
        <w:rPr>
          <w:rFonts w:ascii="Calibri Light" w:cs="Calibri Light" w:eastAsia="Calibri Light" w:hAnsi="Calibri Light"/>
          <w:b/>
          <w:bCs/>
          <w:color w:val="0E1421"/>
          <w:sz w:val="56"/>
          <w:szCs w:val="56"/>
        </w:rPr>
        <w:t xml:space="preserve">SOC 2 Type II Audit Package</w:t>
      </w:r>
    </w:p>
    <w:p>
      <w:pPr>
        <w:spacing w:after="600" w:before="0"/>
        <w:jc w:val="center"/>
      </w:pPr>
      <w:r>
        <w:rPr>
          <w:rFonts w:ascii="Calibri" w:cs="Calibri" w:eastAsia="Calibri" w:hAnsi="Calibri"/>
          <w:color w:val="8A93A6"/>
          <w:sz w:val="18"/>
          <w:szCs w:val="18"/>
        </w:rPr>
        <w:t xml:space="preserve">{{DOCUMENT_TITLE}}</w:t>
      </w:r>
    </w:p>
    <w:p>
      <w:pPr>
        <w:pBdr>
          <w:bottom w:val="single" w:color="00D4F5" w:sz="8" w:space="1"/>
        </w:pBdr>
        <w:spacing w:after="200" w:before="80"/>
      </w:pPr>
      <w:r>
        <w:t xml:space="preserve"/>
      </w:r>
    </w:p>
    <w:tbl>
      <w:tblPr>
        <w:tblW w:type="dxa" w:w="856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5760"/>
      </w:tblGrid>
      <w:tr>
        <w:tc>
          <w:tcPr>
            <w:tcW w:type="dxa" w:w="28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E7EAF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E1421"/>
                <w:sz w:val="22"/>
                <w:szCs w:val="22"/>
              </w:rPr>
              <w:t xml:space="preserve">Version</w:t>
            </w:r>
          </w:p>
        </w:tc>
        <w:tc>
          <w:tcPr>
            <w:tcW w:type="dxa" w:w="57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{{VERSION}}</w:t>
            </w:r>
          </w:p>
        </w:tc>
      </w:tr>
      <w:tr>
        <w:tc>
          <w:tcPr>
            <w:tcW w:type="dxa" w:w="28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E7EAF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E1421"/>
                <w:sz w:val="22"/>
                <w:szCs w:val="22"/>
              </w:rPr>
              <w:t xml:space="preserve">Effective Date</w:t>
            </w:r>
          </w:p>
        </w:tc>
        <w:tc>
          <w:tcPr>
            <w:tcW w:type="dxa" w:w="57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{{EFFECTIVE_DATE}}</w:t>
            </w:r>
          </w:p>
        </w:tc>
      </w:tr>
      <w:tr>
        <w:tc>
          <w:tcPr>
            <w:tcW w:type="dxa" w:w="28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E7EAF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E1421"/>
                <w:sz w:val="22"/>
                <w:szCs w:val="22"/>
              </w:rPr>
              <w:t xml:space="preserve">Owner</w:t>
            </w:r>
          </w:p>
        </w:tc>
        <w:tc>
          <w:tcPr>
            <w:tcW w:type="dxa" w:w="57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{{POLICY_OWNER}}</w:t>
            </w:r>
          </w:p>
        </w:tc>
      </w:tr>
      <w:tr>
        <w:tc>
          <w:tcPr>
            <w:tcW w:type="dxa" w:w="28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E7EAF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E1421"/>
                <w:sz w:val="22"/>
                <w:szCs w:val="22"/>
              </w:rPr>
              <w:t xml:space="preserve">Approver</w:t>
            </w:r>
          </w:p>
        </w:tc>
        <w:tc>
          <w:tcPr>
            <w:tcW w:type="dxa" w:w="57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{{APPROVER_NAME}}, {{APPROVER_TITLE}}</w:t>
            </w:r>
          </w:p>
        </w:tc>
      </w:tr>
      <w:tr>
        <w:tc>
          <w:tcPr>
            <w:tcW w:type="dxa" w:w="28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E7EAF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E1421"/>
                <w:sz w:val="22"/>
                <w:szCs w:val="22"/>
              </w:rPr>
              <w:t xml:space="preserve">Classification</w:t>
            </w:r>
          </w:p>
        </w:tc>
        <w:tc>
          <w:tcPr>
            <w:tcW w:type="dxa" w:w="57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{{CLASSIFICATION}}</w:t>
            </w:r>
          </w:p>
        </w:tc>
      </w:tr>
    </w:tbl>
    <w:p>
      <w:pPr>
        <w:spacing w:after="8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/>
      </w:r>
    </w:p>
    <w:p>
      <w:pPr>
        <w:spacing w:after="140" w:before="0"/>
        <w:jc w:val="center"/>
      </w:pPr>
      <w:r>
        <w:rPr>
          <w:rFonts w:ascii="Calibri Light" w:cs="Calibri Light" w:eastAsia="Calibri Light" w:hAnsi="Calibri Light"/>
          <w:b/>
          <w:bCs/>
          <w:color w:val="0094B0"/>
          <w:spacing w:val="80"/>
          <w:sz w:val="20"/>
          <w:szCs w:val="20"/>
        </w:rPr>
        <w:t xml:space="preserve">Audit-ready, never compliant.</w:t>
      </w:r>
    </w:p>
    <w:p>
      <w:r>
        <w:br w:type="page"/>
      </w:r>
    </w:p>
    <w:p>
      <w:pPr>
        <w:pStyle w:val="Heading2"/>
        <w:spacing w:after="140" w:before="240"/>
      </w:pPr>
      <w:r>
        <w:rPr>
          <w:rFonts w:ascii="Calibri Light" w:cs="Calibri Light" w:eastAsia="Calibri Light" w:hAnsi="Calibri Light"/>
          <w:b/>
          <w:bCs/>
          <w:color w:val="0E1421"/>
          <w:sz w:val="28"/>
          <w:szCs w:val="28"/>
        </w:rP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1700"/>
        <w:gridCol w:w="4360"/>
        <w:gridCol w:w="2200"/>
      </w:tblGrid>
      <w:tr>
        <w:trPr>
          <w:tblHeader/>
        </w:trPr>
        <w:tc>
          <w:tcPr>
            <w:tcW w:type="dxa" w:w="11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00D4F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E1421"/>
                <w:sz w:val="22"/>
                <w:szCs w:val="22"/>
              </w:rPr>
              <w:t xml:space="preserve">Version</w:t>
            </w:r>
          </w:p>
        </w:tc>
        <w:tc>
          <w:tcPr>
            <w:tcW w:type="dxa" w:w="17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00D4F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E1421"/>
                <w:sz w:val="22"/>
                <w:szCs w:val="22"/>
              </w:rPr>
              <w:t xml:space="preserve">Date</w:t>
            </w:r>
          </w:p>
        </w:tc>
        <w:tc>
          <w:tcPr>
            <w:tcW w:type="dxa" w:w="43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00D4F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E1421"/>
                <w:sz w:val="22"/>
                <w:szCs w:val="22"/>
              </w:rPr>
              <w:t xml:space="preserve">Description of Changes</w:t>
            </w:r>
          </w:p>
        </w:tc>
        <w:tc>
          <w:tcPr>
            <w:tcW w:type="dxa" w:w="22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00D4F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E1421"/>
                <w:sz w:val="22"/>
                <w:szCs w:val="22"/>
              </w:rPr>
              <w:t xml:space="preserve">Author</w:t>
            </w:r>
          </w:p>
        </w:tc>
      </w:tr>
      <w:tr>
        <w:tc>
          <w:tcPr>
            <w:tcW w:type="dxa" w:w="11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1.0</w:t>
            </w:r>
          </w:p>
        </w:tc>
        <w:tc>
          <w:tcPr>
            <w:tcW w:type="dxa" w:w="17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{{EFFECTIVE_DATE}}</w:t>
            </w:r>
          </w:p>
        </w:tc>
        <w:tc>
          <w:tcPr>
            <w:tcW w:type="dxa" w:w="43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Initial issuance.</w:t>
            </w:r>
          </w:p>
        </w:tc>
        <w:tc>
          <w:tcPr>
            <w:tcW w:type="dxa" w:w="22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{{AUTHOR_NAME}}</w:t>
            </w:r>
          </w:p>
        </w:tc>
      </w:tr>
    </w:tbl>
    <w:p>
      <w:r>
        <w:br w:type="page"/>
      </w:r>
    </w:p>
    <w:p>
      <w:pPr>
        <w:pStyle w:val="Heading2"/>
        <w:spacing w:after="140" w:before="240"/>
      </w:pPr>
      <w:r>
        <w:rPr>
          <w:rFonts w:ascii="Calibri Light" w:cs="Calibri Light" w:eastAsia="Calibri Light" w:hAnsi="Calibri Light"/>
          <w:b/>
          <w:bCs/>
          <w:color w:val="0E1421"/>
          <w:sz w:val="28"/>
          <w:szCs w:val="28"/>
        </w:rPr>
        <w:t xml:space="preserve">Table of Contents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8A93A6"/>
          <w:sz w:val="20"/>
          <w:szCs w:val="20"/>
        </w:rPr>
        <w:t xml:space="preserve">(Right-click and select "Update Field" in Word to populate this table.)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2"/>
        <w:spacing w:after="140" w:before="240"/>
      </w:pPr>
      <w:r>
        <w:rPr>
          <w:rFonts w:ascii="Calibri Light" w:cs="Calibri Light" w:eastAsia="Calibri Light" w:hAnsi="Calibri Light"/>
          <w:b/>
          <w:bCs/>
          <w:color w:val="0E1421"/>
          <w:sz w:val="28"/>
          <w:szCs w:val="28"/>
        </w:rPr>
        <w:t xml:space="preserve">SOC 2 Type II Audit Package — At a Glance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i w:val="false"/>
          <w:iCs w:val="false"/>
          <w:color w:val="0E1421"/>
          <w:sz w:val="22"/>
          <w:szCs w:val="22"/>
        </w:rPr>
        <w:t xml:space="preserve">Period: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{{AUDIT_PERIOD_START}} → {{AUDIT_PERIOD_END}}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i w:val="false"/>
          <w:iCs w:val="false"/>
          <w:color w:val="0E1421"/>
          <w:sz w:val="22"/>
          <w:szCs w:val="22"/>
        </w:rPr>
        <w:t xml:space="preserve">Scope: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Security (baseline) + selected categories per System Description.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i w:val="false"/>
          <w:iCs w:val="false"/>
          <w:color w:val="0E1421"/>
          <w:sz w:val="22"/>
          <w:szCs w:val="22"/>
        </w:rPr>
        <w:t xml:space="preserve">Owner: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{{POLICY_OWNER}} | Compiled per engagement | Baseline reviewed annually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i w:val="false"/>
          <w:iCs w:val="false"/>
          <w:color w:val="0E1421"/>
          <w:sz w:val="22"/>
          <w:szCs w:val="22"/>
        </w:rPr>
        <w:t xml:space="preserve">Status: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{{PACKAGE_STATUS}}</w:t>
      </w:r>
    </w:p>
    <w:p>
      <w:pPr>
        <w:pStyle w:val="Heading2"/>
        <w:spacing w:after="140" w:before="240"/>
      </w:pPr>
      <w:r>
        <w:rPr>
          <w:rFonts w:ascii="Calibri Light" w:cs="Calibri Light" w:eastAsia="Calibri Light" w:hAnsi="Calibri Light"/>
          <w:b/>
          <w:bCs/>
          <w:color w:val="0E1421"/>
          <w:sz w:val="28"/>
          <w:szCs w:val="28"/>
        </w:rPr>
        <w:t xml:space="preserve">Controls Mapped</w:t>
      </w:r>
    </w:p>
    <w:p>
      <w:pPr>
        <w:spacing w:after="14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CC1-CC9 (Security) plus selected categories. Full inventory in the Control Inventory Register. Each TSC has a named control, an evidence type, and a control owner.</w:t>
      </w:r>
    </w:p>
    <w:p>
      <w:pPr>
        <w:pStyle w:val="Heading2"/>
        <w:spacing w:after="140" w:before="240"/>
      </w:pPr>
      <w:r>
        <w:rPr>
          <w:rFonts w:ascii="Calibri Light" w:cs="Calibri Light" w:eastAsia="Calibri Light" w:hAnsi="Calibri Light"/>
          <w:b/>
          <w:bCs/>
          <w:color w:val="0E1421"/>
          <w:sz w:val="28"/>
          <w:szCs w:val="28"/>
        </w:rPr>
        <w:t xml:space="preserve">Gaps Identified (going into fieldwork)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CC4.1 — Internal-audit informal. Remediation in progress.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CC9.2 — Three Tier-2 subprocessor reviews overdue. In progress.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Stale governance — Two policies past review. Complete.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CC6.3 — Q3 access review documentation incomplete. Complete.</w:t>
      </w:r>
    </w:p>
    <w:p>
      <w:pPr>
        <w:pStyle w:val="Heading2"/>
        <w:spacing w:after="140" w:before="240"/>
      </w:pPr>
      <w:r>
        <w:rPr>
          <w:rFonts w:ascii="Calibri Light" w:cs="Calibri Light" w:eastAsia="Calibri Light" w:hAnsi="Calibri Light"/>
          <w:b/>
          <w:bCs/>
          <w:color w:val="0E1421"/>
          <w:sz w:val="28"/>
          <w:szCs w:val="28"/>
        </w:rPr>
        <w:t xml:space="preserve">Management Assertion</w:t>
      </w:r>
    </w:p>
    <w:p>
      <w:pPr>
        <w:spacing w:after="14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For the audit period, management asserts the system description is fairly presented; controls are suitably designed; controls operated effectively except as noted in the gap analysis. Signed by {{APPROVER_NAME}} and {{POLICY_OWNER}}.</w:t>
      </w:r>
    </w:p>
    <w:p>
      <w:pPr>
        <w:pStyle w:val="Heading2"/>
        <w:spacing w:after="140" w:before="240"/>
      </w:pPr>
      <w:r>
        <w:rPr>
          <w:rFonts w:ascii="Calibri Light" w:cs="Calibri Light" w:eastAsia="Calibri Light" w:hAnsi="Calibri Light"/>
          <w:b/>
          <w:bCs/>
          <w:color w:val="0E1421"/>
          <w:sz w:val="28"/>
          <w:szCs w:val="28"/>
        </w:rPr>
        <w:t xml:space="preserve">Auditor Q&amp;A SLO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Clarification: 1 business day response.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Evidence Request: 3 business days response.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Observation: case-by-case based on materiality.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Portal is the authoritative record. Threads close only on auditor acknowledgement.</w:t>
      </w:r>
    </w:p>
    <w:p>
      <w:pPr>
        <w:pStyle w:val="Heading2"/>
        <w:spacing w:after="140" w:before="240"/>
      </w:pPr>
      <w:r>
        <w:rPr>
          <w:rFonts w:ascii="Calibri Light" w:cs="Calibri Light" w:eastAsia="Calibri Light" w:hAnsi="Calibri Light"/>
          <w:b/>
          <w:bCs/>
          <w:color w:val="0E1421"/>
          <w:sz w:val="28"/>
          <w:szCs w:val="28"/>
        </w:rPr>
        <w:t xml:space="preserve">Roles and Responsibilities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00D4F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E1421"/>
                <w:sz w:val="22"/>
                <w:szCs w:val="22"/>
              </w:rPr>
              <w:t xml:space="preserve">Role</w:t>
            </w:r>
          </w:p>
        </w:tc>
        <w:tc>
          <w:tcPr>
            <w:tcW w:type="dxa" w:w="61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00D4F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E1421"/>
                <w:sz w:val="22"/>
                <w:szCs w:val="22"/>
              </w:rPr>
              <w:t xml:space="preserve">Responsibilities</w:t>
            </w:r>
          </w:p>
        </w:tc>
      </w:tr>
      <w:tr>
        <w:tc>
          <w:tcPr>
            <w:tcW w:type="dxa" w:w="32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Package Owner ({{POLICY_OWNER}})</w:t>
            </w:r>
          </w:p>
        </w:tc>
        <w:tc>
          <w:tcPr>
            <w:tcW w:type="dxa" w:w="61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Assembles the package, owns the mapping baseline, signs management assertions.</w:t>
            </w:r>
          </w:p>
        </w:tc>
      </w:tr>
      <w:tr>
        <w:tc>
          <w:tcPr>
            <w:tcW w:type="dxa" w:w="32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F4F7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Approver ({{APPROVER_NAME}}, {{APPROVER_TITLE}})</w:t>
            </w:r>
          </w:p>
        </w:tc>
        <w:tc>
          <w:tcPr>
            <w:tcW w:type="dxa" w:w="61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F4F7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Signs management assertions and the gap-analysis attestation.</w:t>
            </w:r>
          </w:p>
        </w:tc>
      </w:tr>
      <w:tr>
        <w:tc>
          <w:tcPr>
            <w:tcW w:type="dxa" w:w="32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Control Owners (per control)</w:t>
            </w:r>
          </w:p>
        </w:tc>
        <w:tc>
          <w:tcPr>
            <w:tcW w:type="dxa" w:w="61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Provide evidence on the requested cadence; sign off on operating effectiveness.</w:t>
            </w:r>
          </w:p>
        </w:tc>
      </w:tr>
      <w:tr>
        <w:tc>
          <w:tcPr>
            <w:tcW w:type="dxa" w:w="32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F4F7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Information Security</w:t>
            </w:r>
          </w:p>
        </w:tc>
        <w:tc>
          <w:tcPr>
            <w:tcW w:type="dxa" w:w="61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F4F7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Coordinates evidence collection; verifies completeness; runs gap analysis.</w:t>
            </w:r>
          </w:p>
        </w:tc>
      </w:tr>
      <w:tr>
        <w:tc>
          <w:tcPr>
            <w:tcW w:type="dxa" w:w="32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External Auditor</w:t>
            </w:r>
          </w:p>
        </w:tc>
        <w:tc>
          <w:tcPr>
            <w:tcW w:type="dxa" w:w="61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Reviews the package, samples evidence, conducts walkthroughs and tests.</w:t>
            </w:r>
          </w:p>
        </w:tc>
      </w:tr>
    </w:tbl>
    <w:p>
      <w:pPr>
        <w:pStyle w:val="Heading2"/>
        <w:spacing w:after="140" w:before="240"/>
      </w:pPr>
      <w:r>
        <w:rPr>
          <w:rFonts w:ascii="Calibri Light" w:cs="Calibri Light" w:eastAsia="Calibri Light" w:hAnsi="Calibri Light"/>
          <w:b/>
          <w:bCs/>
          <w:color w:val="0E1421"/>
          <w:sz w:val="28"/>
          <w:szCs w:val="28"/>
        </w:rPr>
        <w:t xml:space="preserve">Review and Maintenance</w:t>
      </w:r>
    </w:p>
    <w:p>
      <w:pP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0E1421"/>
          <w:sz w:val="22"/>
          <w:szCs w:val="22"/>
        </w:rPr>
        <w:t xml:space="preserve">Next review date: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{{NEXT_REVIEW_DATE}}</w:t>
      </w:r>
    </w:p>
    <w:p>
      <w:pP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0E1421"/>
          <w:sz w:val="22"/>
          <w:szCs w:val="22"/>
        </w:rPr>
        <w:t xml:space="preserve">Review frequency: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Compiled per engagement; the framework-mapping baseline reviewed annually.</w:t>
      </w:r>
    </w:p>
    <w:p>
      <w:pP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0E1421"/>
          <w:sz w:val="22"/>
          <w:szCs w:val="22"/>
        </w:rPr>
        <w:t xml:space="preserve">Review triggers: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A material change in applicable laws, regulations, or contractual obligations.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Findings from an internal or external audit that affect this document.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A security or privacy incident that exposes a gap in the document.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An organizational change (acquisition, divestiture, new business line) that affects scope.</w:t>
      </w:r>
    </w:p>
    <w:p>
      <w:pPr>
        <w:pStyle w:val="Heading2"/>
        <w:spacing w:after="140" w:before="240"/>
      </w:pPr>
      <w:r>
        <w:rPr>
          <w:rFonts w:ascii="Calibri Light" w:cs="Calibri Light" w:eastAsia="Calibri Light" w:hAnsi="Calibri Light"/>
          <w:b/>
          <w:bCs/>
          <w:color w:val="0E1421"/>
          <w:sz w:val="28"/>
          <w:szCs w:val="28"/>
        </w:rPr>
        <w:t xml:space="preserve">Related Documents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Information Security Policy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Risk Management Policy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Vendor Management Policy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Annual Security Risk Assessment</w:t>
      </w:r>
    </w:p>
    <w:p>
      <w:pPr>
        <w:pStyle w:val="Heading2"/>
        <w:spacing w:after="140" w:before="240"/>
      </w:pPr>
      <w:r>
        <w:rPr>
          <w:rFonts w:ascii="Calibri Light" w:cs="Calibri Light" w:eastAsia="Calibri Light" w:hAnsi="Calibri Light"/>
          <w:b/>
          <w:bCs/>
          <w:color w:val="0E1421"/>
          <w:sz w:val="28"/>
          <w:szCs w:val="28"/>
        </w:rPr>
        <w:t xml:space="preserve">Approval Signatures</w:t>
      </w:r>
    </w:p>
    <w:p>
      <w:pPr>
        <w:spacing w:after="14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This document becomes effective upon execution by both signatories below.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/>
      </w:r>
    </w:p>
    <w:p>
      <w:pPr>
        <w:pStyle w:val="Heading3"/>
        <w:spacing w:after="100" w:before="200"/>
      </w:pPr>
      <w:r>
        <w:rPr>
          <w:rFonts w:ascii="Calibri Light" w:cs="Calibri Light" w:eastAsia="Calibri Light" w:hAnsi="Calibri Light"/>
          <w:b/>
          <w:bCs/>
          <w:color w:val="3A4453"/>
          <w:sz w:val="24"/>
          <w:szCs w:val="24"/>
        </w:rPr>
        <w:t xml:space="preserve">Policy Owner</w:t>
      </w:r>
    </w:p>
    <w:p>
      <w:pPr>
        <w:spacing w:after="14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Approved by:</w:t>
      </w:r>
    </w:p>
    <w:p>
      <w:pPr>
        <w:spacing w:after="1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________________________________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FFFFFF"/>
          <w:sz w:val="2"/>
          <w:szCs w:val="2"/>
        </w:rPr>
        <w:t xml:space="preserve">\sig1\</w:t>
      </w:r>
    </w:p>
    <w:p>
      <w:p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{{POLICY_OWNER}}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FFFFFF"/>
          <w:sz w:val="2"/>
          <w:szCs w:val="2"/>
        </w:rPr>
        <w:t xml:space="preserve">\name1\</w:t>
      </w:r>
    </w:p>
    <w:p>
      <w:pPr>
        <w:spacing w:after="1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{{POLICY_OWNER_TITLE}}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FFFFFF"/>
          <w:sz w:val="2"/>
          <w:szCs w:val="2"/>
        </w:rPr>
        <w:t xml:space="preserve">\title1\</w:t>
      </w:r>
    </w:p>
    <w:p>
      <w:pPr>
        <w:spacing w:after="2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Date: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____________________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FFFFFF"/>
          <w:sz w:val="2"/>
          <w:szCs w:val="2"/>
        </w:rPr>
        <w:t xml:space="preserve">\date1\</w:t>
      </w:r>
    </w:p>
    <w:p>
      <w:pPr>
        <w:pStyle w:val="Heading3"/>
        <w:spacing w:after="100" w:before="200"/>
      </w:pPr>
      <w:r>
        <w:rPr>
          <w:rFonts w:ascii="Calibri Light" w:cs="Calibri Light" w:eastAsia="Calibri Light" w:hAnsi="Calibri Light"/>
          <w:b/>
          <w:bCs/>
          <w:color w:val="3A4453"/>
          <w:sz w:val="24"/>
          <w:szCs w:val="24"/>
        </w:rPr>
        <w:t xml:space="preserve">Approver</w:t>
      </w:r>
    </w:p>
    <w:p>
      <w:pPr>
        <w:spacing w:after="14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Approved by:</w:t>
      </w:r>
    </w:p>
    <w:p>
      <w:pPr>
        <w:spacing w:after="1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________________________________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FFFFFF"/>
          <w:sz w:val="2"/>
          <w:szCs w:val="2"/>
        </w:rPr>
        <w:t xml:space="preserve">\sig2\</w:t>
      </w:r>
    </w:p>
    <w:p>
      <w:p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{{APPROVER_NAME}}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FFFFFF"/>
          <w:sz w:val="2"/>
          <w:szCs w:val="2"/>
        </w:rPr>
        <w:t xml:space="preserve">\name2\</w:t>
      </w:r>
    </w:p>
    <w:p>
      <w:pPr>
        <w:spacing w:after="1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{{APPROVER_TITLE}}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FFFFFF"/>
          <w:sz w:val="2"/>
          <w:szCs w:val="2"/>
        </w:rPr>
        <w:t xml:space="preserve">\title2\</w:t>
      </w:r>
    </w:p>
    <w:p>
      <w:pPr>
        <w:spacing w:after="2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Date: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____________________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FFFFFF"/>
          <w:sz w:val="2"/>
          <w:szCs w:val="2"/>
        </w:rPr>
        <w:t xml:space="preserve">\date2\</w:t>
      </w:r>
    </w:p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080"/>
      </w:tabs>
    </w:pPr>
    <w:r>
      <w:rPr>
        <w:rFonts w:ascii="Calibri Light" w:cs="Calibri Light" w:eastAsia="Calibri Light" w:hAnsi="Calibri Light"/>
        <w:color w:val="0094B0"/>
        <w:spacing w:val="60"/>
        <w:sz w:val="16"/>
        <w:szCs w:val="16"/>
      </w:rPr>
      <w:t xml:space="preserve">Audit-ready, never compliant.</w:t>
    </w:r>
    <w:r>
      <w:t xml:space="preserve">	</w:t>
    </w:r>
    <w:r>
      <w:rPr>
        <w:rFonts w:ascii="Calibri" w:cs="Calibri" w:eastAsia="Calibri" w:hAnsi="Calibri"/>
        <w:color w:val="8A93A6"/>
        <w:sz w:val="16"/>
        <w:szCs w:val="16"/>
      </w:rPr>
      <w:t xml:space="preserve">Page </w:t>
    </w:r>
    <w:r>
      <w:rPr>
        <w:rFonts w:ascii="Calibri" w:cs="Calibri" w:eastAsia="Calibri" w:hAnsi="Calibri"/>
        <w:color w:val="8A93A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8A93A6"/>
        <w:sz w:val="16"/>
        <w:szCs w:val="16"/>
      </w:rPr>
      <w:t xml:space="preserve"> of </w:t>
    </w:r>
    <w:r>
      <w:rPr>
        <w:rFonts w:ascii="Calibri" w:cs="Calibri" w:eastAsia="Calibri" w:hAnsi="Calibri"/>
        <w:color w:val="8A93A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0D4F5" w:sz="6" w:space="4"/>
      </w:pBdr>
      <w:tabs>
        <w:tab w:val="right" w:pos="10080"/>
      </w:tabs>
    </w:pPr>
    <w:r>
      <w:rPr>
        <w:rFonts w:ascii="Calibri Light" w:cs="Calibri Light" w:eastAsia="Calibri Light" w:hAnsi="Calibri Light"/>
        <w:color w:val="0094B0"/>
        <w:spacing w:val="30"/>
        <w:sz w:val="18"/>
        <w:szCs w:val="18"/>
      </w:rPr>
      <w:t xml:space="preserve">SOC 2 Type II Audit Package</w:t>
    </w:r>
    <w:r>
      <w:t xml:space="preserve">	</w:t>
    </w:r>
    <w:r>
      <w:rPr>
        <w:rFonts w:ascii="Calibri" w:cs="Calibri" w:eastAsia="Calibri" w:hAnsi="Calibri"/>
        <w:color w:val="8A93A6"/>
        <w:sz w:val="16"/>
        <w:szCs w:val="16"/>
      </w:rPr>
      <w:t xml:space="preserve">{{CLASSIFICATION}}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80"/>
      </w:pPr>
    </w:lvl>
    <w:lvl w:ilvl="1" w15:tentative="1">
      <w:start w:val="1"/>
      <w:numFmt w:val="bullet"/>
      <w:lvlText w:val="◦"/>
      <w:lvlJc w:val="left"/>
      <w:pPr>
        <w:ind w:left="108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  <w:lvl w:ilvl="1" w15:tentative="1">
      <w:start w:val="1"/>
      <w:numFmt w:val="lowerLetter"/>
      <w:lvlText w:val="%2."/>
      <w:lvlJc w:val="left"/>
      <w:pPr>
        <w:ind w:left="108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E1421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20"/>
      <w:outlineLvl w:val="0"/>
    </w:pPr>
    <w:rPr>
      <w:rFonts w:ascii="Calibri Light" w:cs="Calibri Light" w:eastAsia="Calibri Light" w:hAnsi="Calibri Light"/>
      <w:b/>
      <w:bCs/>
      <w:color w:val="0E1421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40" w:before="240"/>
      <w:outlineLvl w:val="1"/>
    </w:pPr>
    <w:rPr>
      <w:rFonts w:ascii="Calibri Light" w:cs="Calibri Light" w:eastAsia="Calibri Light" w:hAnsi="Calibri Light"/>
      <w:b/>
      <w:bCs/>
      <w:color w:val="0E1421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Calibri Light" w:cs="Calibri Light" w:eastAsia="Calibri Light" w:hAnsi="Calibri Light"/>
      <w:b/>
      <w:bCs/>
      <w:color w:val="3A4453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SOC 2 Type II Audit Package</dc:title>
  <dc:creator>Midnight</dc:creator>
  <dc:description>Audit Package</dc:description>
  <cp:lastModifiedBy>Un-named</cp:lastModifiedBy>
  <cp:revision>1</cp:revision>
  <dcterms:created xsi:type="dcterms:W3CDTF">2026-05-16T15:45:45.555Z</dcterms:created>
  <dcterms:modified xsi:type="dcterms:W3CDTF">2026-05-16T15:45:45.555Z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