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AUDIT PACKAGE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SOC 2 Type II Audit Package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Audit Scope and Framework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SOC 2 Type II engagement covering {{AUDIT_PERIOD_START}} through {{AUDIT_PERIOD_END}}. Trust Services Criteria selected: Security (baseline), plus what's named in the System Description.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package is what we hand to the auditor. The SOC 2 report is what they hand back. Not the same thing.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Control Inventory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TSC → control → evidence. Full list lives in the Control Inventory Register; here's the top of the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TSC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Control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CC1.1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Code of Conduct + annual acknowledgement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text + acknowledgement records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CC3.1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Annual Risk Assessment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Risk Assessment artifact + sign-off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CC6.1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Okta + MFA; role-based access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IDP config; access reviews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CC6.2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Onboarding/Off-boarding procedures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Provisioning tickets; off-boarding tracker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CC6.3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Quarterly access review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Access review records (4)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CC7.1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Vulnerability Management Program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VM register; remediation evidence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CC7.3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Incident Response Plan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Incident register; post-incident reviews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CC8.1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Change Management Policy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 records; deployment logs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CC9.2</w:t>
            </w:r>
          </w:p>
        </w:tc>
        <w:tc>
          <w:tcPr>
            <w:tcW w:type="dxa" w:w="4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Vendor Management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Subprocessor reviews; BAA register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Evidence Index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artifact has an index entry: control ID, description, collected date, collector, location. Sampling for testing happens with the auditor per the work plan.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Gap Analysis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CC4.1: Informal internal audit. Fix: quarterly internal control sampling with documented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CC9.2: Three Tier-2 subprocessor reviews overdue. Fix: complete before fieldwork.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Stale governance: two policies past next-review date. Fix: re-confirm or re-approve before fieldwork.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Remediation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  <w:gridCol w:w="1360"/>
      </w:tblGrid>
      <w:tr>
        <w:trPr>
          <w:tblHeader/>
        </w:trP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Quarterly internal control sampling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{{INFO_SEC_LEAD}}</w:t>
            </w:r>
          </w:p>
        </w:tc>
        <w:tc>
          <w:tcPr>
            <w:tcW w:type="dxa" w:w="1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Subprocessor reviews (3)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{{VENDOR_OWNER}}</w:t>
            </w:r>
          </w:p>
        </w:tc>
        <w:tc>
          <w:tcPr>
            <w:tcW w:type="dxa" w:w="1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Stale policy re-confirmation</w:t>
            </w:r>
          </w:p>
        </w:tc>
        <w:tc>
          <w:tcPr>
            <w:tcW w:type="dxa" w:w="2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  <w:tc>
          <w:tcPr>
            <w:tcW w:type="dxa" w:w="1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Complete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Management Assertions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For the audit period, management asserts: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System description fairly presented.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Controls suitably designed for the selected criteria.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Controls operated effectively over the period, except as noted in the gap analysis.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Signed by {{APPROVER_NAME}} and {{POLICY_OWNER}}.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Auditor Q&amp;A Template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Question → categorize → assign owner → draft response → review → deliver via portal → close on auditor ack. The portal is the system of record.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Package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Assembles the package, owns the mapping baseline, signs management assertions.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Signs management assertions and the gap-analysis attestation.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Control Owners (per control)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 evidence on the requested cadence; sign off on operating effectiveness.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Information Security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Coordinates evidence collection; verifies completeness; runs gap analysis.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External Auditor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Reviews the package, samples evidence, conducts walkthroughs and tests.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Compiled per engagement; the framework-mapping baseline reviewed annually.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Risk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Vendor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 Security Risk Assessment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SOC 2 Type II Audit Package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2 Type II Audit Package</dc:title>
  <dc:creator>Midnight</dc:creator>
  <dc:description>Audit Package</dc:description>
  <cp:lastModifiedBy>Un-named</cp:lastModifiedBy>
  <cp:revision>1</cp:revision>
  <dcterms:created xsi:type="dcterms:W3CDTF">2026-05-16T15:45:45.440Z</dcterms:created>
  <dcterms:modified xsi:type="dcterms:W3CDTF">2026-05-16T15:45:45.440Z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