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RUNBOOK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Suspected PHI Breach Runbook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1. Incident Type and Scope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Runbook applies to any incident in which Protected Health Information ("PHI") under the custody or control of {{ORGANIZATION_NAME}} ("Organization") has, or may have, been used, disclosed, accessed, acquired, modified, or destroyed in a manner not permitted under the HIPAA Privacy Rule, the Organization's Business Associate Agreements, or applicable law. The Runbook applies whether the suspected impermissible event involves a single record or a population of records.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2. Detection Criteria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The following signals shall trigger initiation of this Runbook: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workforce report submitted through any approved channel describing facts that may constitute an impermissible use or disclosure of PHI.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monitoring alert from the Organization's security tooling indicating possible unauthorized access to a system holding PHI, including authentication anomalies, data exfiltration signatures, and anomalous query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customer notification alleging that the Organization's actions or omissions resulted in an impermissible use or disclosure.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subprocessor notification reporting a security incident affecting PHI processed on the Organization's behalf.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Discovery, in the course of routine operations, of a previously unrecognized condition that may constitute an impermissible use or disclosure.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3. Severity Classification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Upon initiation, the Incident Commander shall classify the incident at one of the following severities, which classification may be adjusted as facts develop.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Severity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Criteria</w:t>
            </w:r>
          </w:p>
        </w:tc>
        <w:tc>
          <w:tcPr>
            <w:tcW w:type="dxa" w:w="3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Sev-1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Confirmed unauthorized access to or acquisition of PHI; or public exposure of PHI; or PHI loss affecting 500 or more individuals.</w:t>
            </w:r>
          </w:p>
        </w:tc>
        <w:tc>
          <w:tcPr>
            <w:tcW w:type="dxa" w:w="3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Immediate paging. Outside counsel engaged within 4 hours. Customer notification within 24 hours.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Sev-2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Reasonable likelihood of impermissible disclosure; or PHI access by individual outside permitted scope; or affecting fewer than 500 individuals.</w:t>
            </w:r>
          </w:p>
        </w:tc>
        <w:tc>
          <w:tcPr>
            <w:tcW w:type="dxa" w:w="3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Engaged within 1 business hour. Outside counsel consultation within 24 hours.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Sev-3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Possible impermissible disclosure with material uncertainty; or single-record or near-miss event.</w:t>
            </w:r>
          </w:p>
        </w:tc>
        <w:tc>
          <w:tcPr>
            <w:tcW w:type="dxa" w:w="3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Engaged within 4 business hours.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Sev-4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Confirmed non-event or fully de-identified data; documented for record only.</w:t>
            </w:r>
          </w:p>
        </w:tc>
        <w:tc>
          <w:tcPr>
            <w:tcW w:type="dxa" w:w="3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Documented; no active response required.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4. Response Steps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4.1 T+0 to T+1 Hour — Initiation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The on-call security responder shall acknowledge the alert or report within fifteen (15) minutes during business hours and within one (1) hour after business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The Incident Commander shall be designated. By default this role is held by the Head of Engineering acting as HIPAA Security Officer; an alternate may be designated in writing.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dedicated incident channel (Slack or equivalent) shall be opened. All material communications during the incident shall occur in this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The Incident Commander shall convene the response team: HIPAA Privacy Officer, Legal, Communications Lead, and the on-call technical responder.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Initial severity classification shall be recorded in the incident ticket.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4.2 T+1 to T+4 Hours — Triage and Containment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The technical responder, under direction of the Incident Commander, shall identify the affected systems and the in-scope dataset, taking care to preserve evidence (logs, snapshots, memory captures where applicable).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Immediate containment actions shall be taken to halt any ongoing impermissible activity. Actions may include access revocation, system isolation, credential rotation, and emergency change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For Sev-1 and Sev-2 incidents, Legal shall engage outside counsel to advise on breach notification timing and content. The engagement shall be documented and the privilege noted on incident communications.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The HIPAA Privacy Officer shall begin the four-factor risk assessment under 45 CFR 164.402(2).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4.3 T+4 to T+24 Hours — Investigation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Evidence collection shall continue under chain-of-custody discipline. All evidence shall be hashed and time-stamped upon collection.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The four-factor risk assessment shall progress, with documented evaluation of: (i) the nature and extent of the PHI involved; (ii) the recipient of the impermissible disclosure; (iii) whether the PHI was actually acquired or viewed; and (iv) the extent to which the risk has been mitigated.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draft customer notification shall be prepared by the Communications Lead with Legal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The Incident Commander shall provide an update to the Approver and to the affected customer's primary contact within twenty-four (24) hours of incident declaration.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4.4 T+24 Hours and Beyond — Notification and 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For incidents determined by the four-factor risk assessment to constitute a Breach under 45 CFR 164.402, customer notification shall be made within the timeframe specified by the applicable Business Associate Agreement (typically within five business days; some agreements require notification within 24 to 72 hours).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For incidents affecting customer data subject to state-level breach notification statutes, the Communications Lead shall coordinate with Legal on state-specific notification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Recovery activities (system restoration, credential reissuance, customer support remediation) shall proceed in parallel with notification activities.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The Incident Commander shall close the incident ticket only when all containment, notification, and recovery activities are documented as complete.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5. Communication Plan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5.1 Internal Communications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All material updates shall be posted to the dedicated incident channel by the Incident Commander or a designated scribe. The Approver shall receive a written summary at: (i) one hour after declaration; (ii) twenty-four hours after declaration; (iii) at material changes in scope or severity; and (iv) at closure.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5.2 External Communications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All external communications shall be authorized by the CEO and reviewed by Legal before release. The Communications Lead shall maintain the customer-notification log, including the date and time of each notification, the recipient, the channel, and the content (by reference).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6. Escalation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Sev-1 and Sev-2 incidents shall be escalated to the Approver within one (1) hour of declaration.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Any incident involving five hundred (500) or more individuals shall be escalated to the Board of Directors representative within twenty-four (24) hours of identification.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Any incident involving potential regulatory inquiry, governmental investigation, or third-party legal hold shall be escalated to Legal immediately, with outside counsel engaged within four (4) hours of identification.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Any incident involving a subprocessor shall trigger the Subprocessor Incident Procedure, including the right-to-audit provisions of the applicable Business Associate Subcontractor Agreement.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7. Post-Incident Review Checklist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Within fifteen (15) business days of incident closure, the Incident Commander shall convene a post-incident review meeting and produce a Post-Incident Report covering at minimum: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Incident timeline, including detection, declaration, containment, notification, and closure events with timestamps.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Root cause analysis, distinguishing immediate cause from contributing causes.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Effectiveness review: which controls operated as intended, which did not, which were absent.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Customer impact: number of affected individuals, categories of PHI involved, notifications delivered.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Regulatory and contractual notifications made.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Remediation actions, owners, and target completion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Lessons learned and updates required to this Runbook, the Incident Response Plan, or related policies.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Runbook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Maintains this Runbook, schedules drills, and incorporates post-incident lessons learned.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Incident Commander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Single decision-maker during the incident. Coordinates the response and authorizes communications.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HIPAA Privacy Officer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Engaged for every suspected PHI incident; signs off on the four-factor risk assessment.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HIPAA Security Officer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Coordinates technical investigation, evidence collection, and containment.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Legal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Engaged at incident declaration. Manages outside-counsel engagement, regulator communications, and customer-notification language.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Communications Lead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Drafts internal and external communications. Coordinates with the customer affected by the incident.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Annually, after each Sev-1 or Sev-2 incident, and upon material change to the Breach Notification Rule.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Incident Response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Breach Notification Policy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HIPAA Privacy Policy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HIPAA Security Policy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 xml:space="preserve">Suspected PHI Breach Runbook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Suspected PHI Breach Runbook</dc:title>
  <dc:creator>Midnight</dc:creator>
  <dc:description>Runbook</dc:description>
  <cp:lastModifiedBy>Un-named</cp:lastModifiedBy>
  <cp:revision>1</cp:revision>
  <dcterms:created xsi:type="dcterms:W3CDTF">2026-05-16T15:41:08.626Z</dcterms:created>
  <dcterms:modified xsi:type="dcterms:W3CDTF">2026-05-16T15:41:08.626Z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