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POLICY</w:t>
      </w:r>
    </w:p>
    <w:p>
      <w:pPr>
        <w:spacing w:after="200" w:before="0"/>
        <w:jc w:val="center"/>
      </w:pPr>
      <w:r>
        <w:rPr>
          <w:rFonts w:ascii="Calibri Light" w:cs="Calibri Light" w:eastAsia="Calibri Light" w:hAnsi="Calibri Light"/>
          <w:b/>
          <w:bCs/>
          <w:color w:val="0E1421"/>
          <w:sz w:val="56"/>
          <w:szCs w:val="56"/>
        </w:rPr>
        <w:t xml:space="preserve">Acceptable Use Policy</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Purpose</w:t>
      </w:r>
    </w:p>
    <w:p>
      <w:pPr>
        <w:spacing w:after="140" w:before="0"/>
      </w:pPr>
      <w:r>
        <w:rPr>
          <w:rFonts w:ascii="Calibri" w:cs="Calibri" w:eastAsia="Calibri" w:hAnsi="Calibri"/>
          <w:b w:val="false"/>
          <w:bCs w:val="false"/>
          <w:i w:val="false"/>
          <w:iCs w:val="false"/>
          <w:color w:val="0E1421"/>
          <w:sz w:val="22"/>
          <w:szCs w:val="22"/>
        </w:rPr>
        <w:t xml:space="preserve">This policy explains what {{ORGANIZATION_NAME}} expects from everyone who uses our systems and tools. If you have a company laptop, email account, or login to any of our platforms, this applies to you. The goal is simple: keep our data safe, keep our work focused, and keep us all out of regulatory trouble.</w:t>
      </w:r>
    </w:p>
    <w:p>
      <w:pPr>
        <w:spacing w:after="140" w:before="0"/>
      </w:pPr>
      <w:r>
        <w:rPr>
          <w:rFonts w:ascii="Calibri" w:cs="Calibri" w:eastAsia="Calibri" w:hAnsi="Calibri"/>
          <w:b w:val="false"/>
          <w:bCs w:val="false"/>
          <w:i w:val="false"/>
          <w:iCs w:val="false"/>
          <w:color w:val="0E1421"/>
          <w:sz w:val="22"/>
          <w:szCs w:val="22"/>
        </w:rPr>
        <w:t xml:space="preserve">We want you to use our systems to do great work. This policy stays out of your way as much as possible — it focuses on the things that genuinely matter.</w:t>
      </w:r>
    </w:p>
    <w:p>
      <w:pPr>
        <w:pStyle w:val="Heading2"/>
        <w:spacing w:after="140" w:before="240"/>
      </w:pPr>
      <w:r>
        <w:rPr>
          <w:rFonts w:ascii="Calibri Light" w:cs="Calibri Light" w:eastAsia="Calibri Light" w:hAnsi="Calibri Light"/>
          <w:b/>
          <w:bCs/>
          <w:color w:val="0E1421"/>
          <w:sz w:val="28"/>
          <w:szCs w:val="28"/>
        </w:rPr>
        <w:t xml:space="preserve">Scope</w:t>
      </w:r>
    </w:p>
    <w:p>
      <w:pPr>
        <w:spacing w:after="140" w:before="0"/>
      </w:pPr>
      <w:r>
        <w:rPr>
          <w:rFonts w:ascii="Calibri" w:cs="Calibri" w:eastAsia="Calibri" w:hAnsi="Calibri"/>
          <w:b w:val="false"/>
          <w:bCs w:val="false"/>
          <w:i w:val="false"/>
          <w:iCs w:val="false"/>
          <w:color w:val="0E1421"/>
          <w:sz w:val="22"/>
          <w:szCs w:val="22"/>
        </w:rPr>
        <w:t xml:space="preserve">This policy applies to:</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Employees, contractors, interns, and anyone else with an account that touches our systems.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Company-issued devices and any personal devices you use for work.</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Our cloud apps (email, Slack, code repos, productivity tools) and our internal systems.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Anything that handles customer data, source code, or financial information.</w:t>
      </w:r>
    </w:p>
    <w:p>
      <w:pPr>
        <w:spacing w:after="140" w:before="0"/>
      </w:pPr>
      <w:r>
        <w:rPr>
          <w:rFonts w:ascii="Calibri" w:cs="Calibri" w:eastAsia="Calibri" w:hAnsi="Calibri"/>
          <w:b w:val="false"/>
          <w:bCs w:val="false"/>
          <w:i w:val="false"/>
          <w:iCs w:val="false"/>
          <w:color w:val="0E1421"/>
          <w:sz w:val="22"/>
          <w:szCs w:val="22"/>
        </w:rPr>
        <w:t xml:space="preserve">If you have a more specific agreement (a vendor contract, an offer letter clause), that document takes precedence where it's stricter. When in doubt, ask {{POLICY_OWNER}}.</w:t>
      </w:r>
    </w:p>
    <w:p>
      <w:pPr>
        <w:pStyle w:val="Heading2"/>
        <w:spacing w:after="140" w:before="240"/>
      </w:pPr>
      <w:r>
        <w:rPr>
          <w:rFonts w:ascii="Calibri Light" w:cs="Calibri Light" w:eastAsia="Calibri Light" w:hAnsi="Calibri Light"/>
          <w:b/>
          <w:bCs/>
          <w:color w:val="0E1421"/>
          <w:sz w:val="28"/>
          <w:szCs w:val="28"/>
        </w:rPr>
        <w:t xml:space="preserve">Policy Statements</w:t>
      </w:r>
    </w:p>
    <w:p>
      <w:pPr>
        <w:pStyle w:val="Heading3"/>
        <w:spacing w:after="100" w:before="200"/>
      </w:pPr>
      <w:r>
        <w:rPr>
          <w:rFonts w:ascii="Calibri Light" w:cs="Calibri Light" w:eastAsia="Calibri Light" w:hAnsi="Calibri Light"/>
          <w:b/>
          <w:bCs/>
          <w:color w:val="3A4453"/>
          <w:sz w:val="24"/>
          <w:szCs w:val="24"/>
        </w:rPr>
        <w:t xml:space="preserve">What we expect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Use your work devices and accounts for work. Personal use is fine in moderation — same standard as a personal call from the office phone.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Keep your credentials to yourself. Don't share passwords, MFA codes, or session tokens — not even with someone on your team.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Lock your screen when you step away. It takes two seconds.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Use approved tools for sensitive data. The approved-tool list lives in {{TOOL_REGISTRY_LOCATION}}.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Report problems quickly. If you click something you shouldn't have, lose a device, or notice something weird, tell {{SECURITY_CONTACT}}. We don't punish honest reports.</w:t>
      </w:r>
    </w:p>
    <w:p>
      <w:pPr>
        <w:pStyle w:val="Heading3"/>
        <w:spacing w:after="100" w:before="200"/>
      </w:pPr>
      <w:r>
        <w:rPr>
          <w:rFonts w:ascii="Calibri Light" w:cs="Calibri Light" w:eastAsia="Calibri Light" w:hAnsi="Calibri Light"/>
          <w:b/>
          <w:bCs/>
          <w:color w:val="3A4453"/>
          <w:sz w:val="24"/>
          <w:szCs w:val="24"/>
        </w:rPr>
        <w:t xml:space="preserve">What we don't allow</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Don't install unapproved software on company devices. If you need a tool, request it through {{SOFTWARE_REQUEST_PROCESS}}.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Don't store work data on personal cloud accounts (personal Dropbox, personal Drive, etc.).</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Don't move sensitive data through unapproved channels — no PHI in personal email, no customer data in consumer messaging apps.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Don't disable or bypass security tools (endpoint agents, MFA, content filters).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Don't use our systems for anything illegal, anything harassing, or anything that would embarrass us in front of a customer or regulator.</w:t>
      </w:r>
    </w:p>
    <w:p>
      <w:pPr>
        <w:pStyle w:val="Heading3"/>
        <w:spacing w:after="100" w:before="200"/>
      </w:pPr>
      <w:r>
        <w:rPr>
          <w:rFonts w:ascii="Calibri Light" w:cs="Calibri Light" w:eastAsia="Calibri Light" w:hAnsi="Calibri Light"/>
          <w:b/>
          <w:bCs/>
          <w:color w:val="3A4453"/>
          <w:sz w:val="24"/>
          <w:szCs w:val="24"/>
        </w:rPr>
        <w:t xml:space="preserve">Personal devices</w:t>
      </w:r>
    </w:p>
    <w:p>
      <w:pPr>
        <w:spacing w:after="140" w:before="0"/>
      </w:pPr>
      <w:r>
        <w:rPr>
          <w:rFonts w:ascii="Calibri" w:cs="Calibri" w:eastAsia="Calibri" w:hAnsi="Calibri"/>
          <w:b w:val="false"/>
          <w:bCs w:val="false"/>
          <w:i w:val="false"/>
          <w:iCs w:val="false"/>
          <w:color w:val="0E1421"/>
          <w:sz w:val="22"/>
          <w:szCs w:val="22"/>
        </w:rPr>
        <w:t xml:space="preserve">If you use a personal device for work email or calendar, you agree to enroll it in our mobile device management (MDM) per the Mobile Device Standard. We don't look at your personal data. We do require a passcode, encryption, and the ability to wipe work data if the device is lost.</w:t>
      </w:r>
    </w:p>
    <w:p>
      <w:pPr>
        <w:pStyle w:val="Heading2"/>
        <w:spacing w:after="140" w:before="240"/>
      </w:pPr>
      <w:r>
        <w:rPr>
          <w:rFonts w:ascii="Calibri Light" w:cs="Calibri Light" w:eastAsia="Calibri Light" w:hAnsi="Calibri Light"/>
          <w:b/>
          <w:bCs/>
          <w:color w:val="0E1421"/>
          <w:sz w:val="28"/>
          <w:szCs w:val="28"/>
        </w:rPr>
        <w:t xml:space="preserve">Compliance and Enforcement</w:t>
      </w:r>
    </w:p>
    <w:p>
      <w:pPr>
        <w:spacing w:after="140" w:before="0"/>
      </w:pPr>
      <w:r>
        <w:rPr>
          <w:rFonts w:ascii="Calibri" w:cs="Calibri" w:eastAsia="Calibri" w:hAnsi="Calibri"/>
          <w:b w:val="false"/>
          <w:bCs w:val="false"/>
          <w:i w:val="false"/>
          <w:iCs w:val="false"/>
          <w:color w:val="0E1421"/>
          <w:sz w:val="22"/>
          <w:szCs w:val="22"/>
        </w:rPr>
        <w:t xml:space="preserve">Following this policy is part of having access to our systems. If you violate it, we'll handle it like we handle any other workplace issue — proportional response, documented, with HR involved when employment matters are on the table.</w:t>
      </w:r>
    </w:p>
    <w:p>
      <w:pPr>
        <w:spacing w:after="140" w:before="0"/>
      </w:pPr>
      <w:r>
        <w:rPr>
          <w:rFonts w:ascii="Calibri" w:cs="Calibri" w:eastAsia="Calibri" w:hAnsi="Calibri"/>
          <w:b w:val="false"/>
          <w:bCs w:val="false"/>
          <w:i w:val="false"/>
          <w:iCs w:val="false"/>
          <w:color w:val="0E1421"/>
          <w:sz w:val="22"/>
          <w:szCs w:val="22"/>
        </w:rPr>
        <w:t xml:space="preserve">Most violations are honest mistakes. Those get a conversation and coaching. Repeated violations, or anything intentional, can result in access suspension, formal discipline, or termination. If the violation is also illegal (theft, fraud, unauthorized access of someone else's data), we may involve law enforcement.</w:t>
      </w:r>
    </w:p>
    <w:p>
      <w:pPr>
        <w:pStyle w:val="Heading2"/>
        <w:spacing w:after="140" w:before="240"/>
      </w:pPr>
      <w:r>
        <w:rPr>
          <w:rFonts w:ascii="Calibri Light" w:cs="Calibri Light" w:eastAsia="Calibri Light" w:hAnsi="Calibri Light"/>
          <w:b/>
          <w:bCs/>
          <w:color w:val="0E1421"/>
          <w:sz w:val="28"/>
          <w:szCs w:val="28"/>
        </w:rPr>
        <w:t xml:space="preserve">Exceptions Process</w:t>
      </w:r>
    </w:p>
    <w:p>
      <w:pPr>
        <w:spacing w:after="140" w:before="0"/>
      </w:pPr>
      <w:r>
        <w:rPr>
          <w:rFonts w:ascii="Calibri" w:cs="Calibri" w:eastAsia="Calibri" w:hAnsi="Calibri"/>
          <w:b w:val="false"/>
          <w:bCs w:val="false"/>
          <w:i w:val="false"/>
          <w:iCs w:val="false"/>
          <w:color w:val="0E1421"/>
          <w:sz w:val="22"/>
          <w:szCs w:val="22"/>
        </w:rPr>
        <w:t xml:space="preserve">If you need an exception — say, you need a tool that isn't on the approved list because it's critical for a customer engagement — submit a request to {{POLICY_OWNER}} with:</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What you need an exception for.</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Why (business justification).</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What you'll do instead to keep the underlying risk managed.</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How long you need the exception (default 90 days, renewable).</w:t>
      </w:r>
    </w:p>
    <w:p>
      <w:pPr>
        <w:spacing w:after="140" w:before="0"/>
      </w:pPr>
      <w:r>
        <w:rPr>
          <w:rFonts w:ascii="Calibri" w:cs="Calibri" w:eastAsia="Calibri" w:hAnsi="Calibri"/>
          <w:b w:val="false"/>
          <w:bCs w:val="false"/>
          <w:i w:val="false"/>
          <w:iCs w:val="false"/>
          <w:color w:val="0E1421"/>
          <w:sz w:val="22"/>
          <w:szCs w:val="22"/>
        </w:rPr>
        <w:t xml:space="preserve">We approve or deny within five business days. Approved exceptions go into the exception register and get reviewed every six months.</w:t>
      </w:r>
    </w:p>
    <w:p>
      <w:pPr>
        <w:pStyle w:val="Heading2"/>
        <w:spacing w:after="140" w:before="240"/>
      </w:pPr>
      <w:r>
        <w:rPr>
          <w:rFonts w:ascii="Calibri Light" w:cs="Calibri Light" w:eastAsia="Calibri Light" w:hAnsi="Calibri Light"/>
          <w:b/>
          <w:bCs/>
          <w:color w:val="0E1421"/>
          <w:sz w:val="28"/>
          <w:szCs w:val="28"/>
        </w:rPr>
        <w:t xml:space="preserve">Definitions</w:t>
      </w:r>
    </w:p>
    <w:p>
      <w:pPr>
        <w:pStyle w:val="ListParagraph"/>
        <w:numPr>
          <w:ilvl w:val="0"/>
          <w:numId w:val="2"/>
        </w:numPr>
        <w:spacing w:after="80"/>
      </w:pPr>
      <w:r>
        <w:rPr>
          <w:rFonts w:ascii="Calibri" w:cs="Calibri" w:eastAsia="Calibri" w:hAnsi="Calibri"/>
          <w:b/>
          <w:bCs/>
          <w:i w:val="false"/>
          <w:iCs w:val="false"/>
          <w:color w:val="0E1421"/>
          <w:sz w:val="22"/>
          <w:szCs w:val="22"/>
        </w:rPr>
        <w:t xml:space="preserve">Authorized User:</w:t>
      </w:r>
      <w:r>
        <w:rPr>
          <w:rFonts w:ascii="Calibri" w:cs="Calibri" w:eastAsia="Calibri" w:hAnsi="Calibri"/>
          <w:b w:val="false"/>
          <w:bCs w:val="false"/>
          <w:i w:val="false"/>
          <w:iCs w:val="false"/>
          <w:color w:val="0E1421"/>
          <w:sz w:val="22"/>
          <w:szCs w:val="22"/>
        </w:rPr>
        <w:t xml:space="preserve"> anyone with a login to our systems.</w:t>
      </w:r>
    </w:p>
    <w:p>
      <w:pPr>
        <w:pStyle w:val="ListParagraph"/>
        <w:numPr>
          <w:ilvl w:val="0"/>
          <w:numId w:val="2"/>
        </w:numPr>
        <w:spacing w:after="80"/>
      </w:pPr>
      <w:r>
        <w:rPr>
          <w:rFonts w:ascii="Calibri" w:cs="Calibri" w:eastAsia="Calibri" w:hAnsi="Calibri"/>
          <w:b/>
          <w:bCs/>
          <w:i w:val="false"/>
          <w:iCs w:val="false"/>
          <w:color w:val="0E1421"/>
          <w:sz w:val="22"/>
          <w:szCs w:val="22"/>
        </w:rPr>
        <w:t xml:space="preserve">Confidential Information:</w:t>
      </w:r>
      <w:r>
        <w:rPr>
          <w:rFonts w:ascii="Calibri" w:cs="Calibri" w:eastAsia="Calibri" w:hAnsi="Calibri"/>
          <w:b w:val="false"/>
          <w:bCs w:val="false"/>
          <w:i w:val="false"/>
          <w:iCs w:val="false"/>
          <w:color w:val="0E1421"/>
          <w:sz w:val="22"/>
          <w:szCs w:val="22"/>
        </w:rPr>
        <w:t xml:space="preserve"> anything our customers, business partners, or company would prefer wasn't public.</w:t>
      </w:r>
    </w:p>
    <w:p>
      <w:pPr>
        <w:pStyle w:val="ListParagraph"/>
        <w:numPr>
          <w:ilvl w:val="0"/>
          <w:numId w:val="2"/>
        </w:numPr>
        <w:spacing w:after="80"/>
      </w:pPr>
      <w:r>
        <w:rPr>
          <w:rFonts w:ascii="Calibri" w:cs="Calibri" w:eastAsia="Calibri" w:hAnsi="Calibri"/>
          <w:b/>
          <w:bCs/>
          <w:i w:val="false"/>
          <w:iCs w:val="false"/>
          <w:color w:val="0E1421"/>
          <w:sz w:val="22"/>
          <w:szCs w:val="22"/>
        </w:rPr>
        <w:t xml:space="preserve">PHI:</w:t>
      </w:r>
      <w:r>
        <w:rPr>
          <w:rFonts w:ascii="Calibri" w:cs="Calibri" w:eastAsia="Calibri" w:hAnsi="Calibri"/>
          <w:b w:val="false"/>
          <w:bCs w:val="false"/>
          <w:i w:val="false"/>
          <w:iCs w:val="false"/>
          <w:color w:val="0E1421"/>
          <w:sz w:val="22"/>
          <w:szCs w:val="22"/>
        </w:rPr>
        <w:t xml:space="preserve"> Protected Health Information — patient data we handle on behalf of healthcare customers.</w:t>
      </w:r>
    </w:p>
    <w:p>
      <w:pPr>
        <w:pStyle w:val="ListParagraph"/>
        <w:numPr>
          <w:ilvl w:val="0"/>
          <w:numId w:val="2"/>
        </w:numPr>
        <w:spacing w:after="80"/>
      </w:pPr>
      <w:r>
        <w:rPr>
          <w:rFonts w:ascii="Calibri" w:cs="Calibri" w:eastAsia="Calibri" w:hAnsi="Calibri"/>
          <w:b/>
          <w:bCs/>
          <w:i w:val="false"/>
          <w:iCs w:val="false"/>
          <w:color w:val="0E1421"/>
          <w:sz w:val="22"/>
          <w:szCs w:val="22"/>
        </w:rPr>
        <w:t xml:space="preserve">Sensitive Data:</w:t>
      </w:r>
      <w:r>
        <w:rPr>
          <w:rFonts w:ascii="Calibri" w:cs="Calibri" w:eastAsia="Calibri" w:hAnsi="Calibri"/>
          <w:b w:val="false"/>
          <w:bCs w:val="false"/>
          <w:i w:val="false"/>
          <w:iCs w:val="false"/>
          <w:color w:val="0E1421"/>
          <w:sz w:val="22"/>
          <w:szCs w:val="22"/>
        </w:rPr>
        <w:t xml:space="preserve"> Confidential Information, PHI, source code, financial records, or anything classified Restricted in the Data Classification Policy.</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Policy, schedules reviews, processes exception requests, and approves minor revisions in accordance with the change control process.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at each annual review. Sponsors enforcement decisions arising from material policy violations.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Reviewer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Conducts substantive review at the scheduled cadence and documents the review outcome in the document control table.</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Authorized User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Reads and complies with this Policy. Reports suspected violations and incidents through the channels defined herein.</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qualifying trigger.</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Access Control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Incident Response Plan</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Acceptable Use Policy</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dc:title>
  <dc:creator>Midnight</dc:creator>
  <dc:description>Policy</dc:description>
  <cp:lastModifiedBy>Un-named</cp:lastModifiedBy>
  <cp:revision>1</cp:revision>
  <dcterms:created xsi:type="dcterms:W3CDTF">2026-05-16T15:23:23.990Z</dcterms:created>
  <dcterms:modified xsi:type="dcterms:W3CDTF">2026-05-16T15:23:23.990Z</dcterms:modified>
</cp:coreProperties>
</file>

<file path=docProps/custom.xml><?xml version="1.0" encoding="utf-8"?>
<Properties xmlns="http://schemas.openxmlformats.org/officeDocument/2006/custom-properties" xmlns:vt="http://schemas.openxmlformats.org/officeDocument/2006/docPropsVTypes"/>
</file>