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PROCEDURE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Workforce Off-Boarding Procedure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Purpose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Someone is leaving. Here's exactly what we do, in what order, to make sure their access goes away cleanly and our data goes with us.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is the same procedure whether someone resigned, got promoted out, or was terminated. The steps don't care about the reason — they care about getting the access closed properly.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Scope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separation: employees, contractors, interns, temps. Initiated when HR (or the contract manager for contractors) sends written notice. Aligned with what auditors look for under SOC 2 CC6.2, HIPAA 164.308(a)(3)(ii)(C), and ISO 27001 A.6.5.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Written notification from HR with separation date and final access end-time.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Hiring manager has named the people who pick up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Off-Boarding Tracker entry created.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Procedure Steps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5 business days before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Create the tracker entry: name, role, manager, 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Manager fills out the Knowledge Transfer Form — projects, customers, system ownerships, anything they alone know.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Schedule the handoff conversations.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Final workday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Drop their privileged role assignments down to what they need for the last day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Move shared inboxes, on-call rotations, customer portal accounts to the named successors.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Exit interview if applicable.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Final access end-time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Disable the account in the identity provider within 4 business hours. This is the hard SLA.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Rotate any service-account credentials they knew within 24 hours.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Pull them off distribution lists and group memberships.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Record the disablement time and operator in the tracker.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5 business days after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Hardware back. If not, escalate to the manager and HR.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Wipe recovered devices and reassign or dispose per the Asset Management Policy.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Unenroll personal devices from MDM. Wipe work data only.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15 business days after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Spot-check the identity provider log and at least two downstream systems.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Mark the tracker entry Complete.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Anything stuck goes through Section "Escalation Path" below.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Quality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Quarterly: reconcile completed tracker entries against the HR roster. Any separations we missed?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Annually: Information Security samples off-boardings — was the 4-hour SLA met? Were credentials rotated?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go in the Off-Boarding Findings Register with assigned owners and SLAs.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Escalation Path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If a step is blocked or late: tell {{POLICY_OWNER}}. After 24 hours of no progress: escalate to {{APPROVER_NAME}}. If there's suspected misconduct, unrecovered access, or data still in their hands — that's a security incident; the Incident Response Plan kicks in.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Records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Off-Boarding Tracker is the source of truth. Retain per the Document Retention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Knowledge Transfer Forms kept at least 2 years post-separation.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Hardware recovery records per Asset Management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Identity provider audit logs per applicable law and customer agreements.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Procedure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Procedure, schedules reviews, and approves material changes to the steps.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Off-Boarding Coordinator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Executes the steps in Section 4 for each separating workforce member; documents completion in the Off-Boarding Tracker.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Hiring Manager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Notifies HR of separation; identifies access transfer recipients; participates in knowledge transfer.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IT / Identity Operator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Disables access, recovers credentials and devices, completes the technical steps within the SLA.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material change in process, identity provider, or HRIS.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Access Control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Acceptable Use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Asset Management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Workforce Off-Boarding Procedure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Off-Boarding Procedure</dc:title>
  <dc:creator>Midnight</dc:creator>
  <dc:description>Procedure</dc:description>
  <cp:lastModifiedBy>Un-named</cp:lastModifiedBy>
  <cp:revision>1</cp:revision>
  <dcterms:created xsi:type="dcterms:W3CDTF">2026-05-16T15:33:49.834Z</dcterms:created>
  <dcterms:modified xsi:type="dcterms:W3CDTF">2026-05-16T15:33:49.834Z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