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Calibri Light" w:cs="Calibri Light" w:eastAsia="Calibri Light" w:hAnsi="Calibri Light"/>
          <w:b/>
          <w:bCs/>
          <w:color w:val="8A93A6"/>
          <w:sz w:val="24"/>
          <w:szCs w:val="24"/>
        </w:rPr>
        <w:t xml:space="preserve">[LOGO: organization_logo.png]</w:t>
      </w:r>
    </w:p>
    <w:p>
      <w:pPr>
        <w:spacing w:after="1200" w:before="0"/>
        <w:jc w:val="center"/>
      </w:pPr>
      <w:r>
        <w:rPr>
          <w:rFonts w:ascii="Calibri" w:cs="Calibri" w:eastAsia="Calibri" w:hAnsi="Calibri"/>
          <w:color w:val="8A93A6"/>
          <w:sz w:val="18"/>
          <w:szCs w:val="18"/>
        </w:rPr>
        <w:t xml:space="preserve">(Reserve 2" x 2" — center)</w:t>
      </w:r>
    </w:p>
    <w:p>
      <w:pPr>
        <w:pBdr>
          <w:bottom w:val="single" w:color="00D4F5" w:sz="24" w:space="1"/>
        </w:pBdr>
        <w:spacing w:after="200" w:before="80"/>
      </w:pPr>
      <w:r>
        <w:t xml:space="preserve"/>
      </w:r>
    </w:p>
    <w:p>
      <w:pPr>
        <w:spacing w:after="100" w:before="0"/>
        <w:jc w:val="center"/>
      </w:pPr>
      <w:r>
        <w:rPr>
          <w:rFonts w:ascii="Calibri Light" w:cs="Calibri Light" w:eastAsia="Calibri Light" w:hAnsi="Calibri Light"/>
          <w:b/>
          <w:bCs/>
          <w:color w:val="0094B0"/>
          <w:spacing w:val="100"/>
          <w:sz w:val="24"/>
          <w:szCs w:val="24"/>
        </w:rPr>
        <w:t xml:space="preserve">PROCESS FLOW</w:t>
      </w:r>
    </w:p>
    <w:p>
      <w:pPr>
        <w:spacing w:after="200" w:before="0"/>
        <w:jc w:val="center"/>
      </w:pPr>
      <w:r>
        <w:rPr>
          <w:rFonts w:ascii="Calibri Light" w:cs="Calibri Light" w:eastAsia="Calibri Light" w:hAnsi="Calibri Light"/>
          <w:b/>
          <w:bCs/>
          <w:color w:val="0E1421"/>
          <w:sz w:val="56"/>
          <w:szCs w:val="56"/>
        </w:rPr>
        <w:t xml:space="preserve">Customer Data Deletion Request Process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8A93A6"/>
          <w:sz w:val="18"/>
          <w:szCs w:val="18"/>
        </w:rPr>
        <w:t xml:space="preserve">{{DOCUMENT_TITLE}}</w:t>
      </w:r>
    </w:p>
    <w:p>
      <w:pPr>
        <w:pBdr>
          <w:bottom w:val="single" w:color="00D4F5" w:sz="8" w:space="1"/>
        </w:pBdr>
        <w:spacing w:after="200" w:before="80"/>
      </w:pPr>
      <w:r>
        <w:t xml:space="preserve"/>
      </w:r>
    </w:p>
    <w:tbl>
      <w:tblPr>
        <w:tblW w:type="dxa" w:w="85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760"/>
      </w:tblGrid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{{VERSION}}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Effective Date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{{EFFECTIVE_DATE}}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Owner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{{POLICY_OWNER}}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Approver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{{APPROVER_NAME}}, {{APPROVER_TITLE}}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E7EA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57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{{CLASSIFICATION}}</w:t>
            </w:r>
          </w:p>
        </w:tc>
      </w:tr>
    </w:tbl>
    <w:p>
      <w:pPr>
        <w:spacing w:after="8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/>
      </w:r>
    </w:p>
    <w:p>
      <w:pPr>
        <w:spacing w:after="140" w:before="0"/>
        <w:jc w:val="center"/>
      </w:pPr>
      <w:r>
        <w:rPr>
          <w:rFonts w:ascii="Calibri Light" w:cs="Calibri Light" w:eastAsia="Calibri Light" w:hAnsi="Calibri Light"/>
          <w:b/>
          <w:bCs/>
          <w:color w:val="0094B0"/>
          <w:spacing w:val="80"/>
          <w:sz w:val="20"/>
          <w:szCs w:val="20"/>
        </w:rPr>
        <w:t xml:space="preserve">Audit-ready, never compliant.</w:t>
      </w:r>
    </w:p>
    <w:p>
      <w:r>
        <w:br w:type="page"/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4360"/>
        <w:gridCol w:w="2200"/>
      </w:tblGrid>
      <w:tr>
        <w:trPr>
          <w:tblHeader/>
        </w:trP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Description of Changes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Author</w:t>
            </w:r>
          </w:p>
        </w:tc>
      </w:tr>
      <w:tr>
        <w:tc>
          <w:tcPr>
            <w:tcW w:type="dxa" w:w="11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1.0</w:t>
            </w:r>
          </w:p>
        </w:tc>
        <w:tc>
          <w:tcPr>
            <w:tcW w:type="dxa" w:w="1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{{EFFECTIVE_DATE}}</w:t>
            </w:r>
          </w:p>
        </w:tc>
        <w:tc>
          <w:tcPr>
            <w:tcW w:type="dxa" w:w="43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Initial issuance.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{{AUTHOR_NAME}}</w:t>
            </w:r>
          </w:p>
        </w:tc>
      </w:tr>
    </w:tbl>
    <w:p>
      <w:r>
        <w:br w:type="page"/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Table of Contents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A93A6"/>
          <w:sz w:val="20"/>
          <w:szCs w:val="20"/>
        </w:rPr>
        <w:t xml:space="preserve">(Right-click and select "Update Field" in Word to populate this table.)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Customer Data Deletion Process — At a Glance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Trigger: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Customer submits a deletion request through any accepted channel.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Commitment: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Production deletion within 21 days; backups within 30 days; full closure within 30-45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Why it matters: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GDPR/CCPA/BAA deletion deadlines are statutory. Misses are notifiable to regulators.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Owner: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{{POLICY_OWNER}} | Reviewed annually | Next review: {{NEXT_REVIEW_DATE}}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The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400"/>
        <w:gridCol w:w="2160"/>
      </w:tblGrid>
      <w:tr>
        <w:trPr>
          <w:tblHeader/>
        </w:trPr>
        <w:tc>
          <w:tcPr>
            <w:tcW w:type="dxa" w:w="4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SLO</w:t>
            </w:r>
          </w:p>
        </w:tc>
      </w:tr>
      <w:tr>
        <w:tc>
          <w:tcPr>
            <w:tcW w:type="dxa" w:w="4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1. Acknowledge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Customer Success</w:t>
            </w:r>
          </w:p>
        </w:tc>
        <w:tc>
          <w:tcPr>
            <w:tcW w:type="dxa" w:w="2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1 business day</w:t>
            </w:r>
          </w:p>
        </w:tc>
      </w:tr>
      <w:tr>
        <w:tc>
          <w:tcPr>
            <w:tcW w:type="dxa" w:w="4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2. Scope + authority verify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Customer Success</w:t>
            </w:r>
          </w:p>
        </w:tc>
        <w:tc>
          <w:tcPr>
            <w:tcW w:type="dxa" w:w="2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3 business days</w:t>
            </w:r>
          </w:p>
        </w:tc>
      </w:tr>
      <w:tr>
        <w:tc>
          <w:tcPr>
            <w:tcW w:type="dxa" w:w="4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3. Legal hold check (parallel)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Legal</w:t>
            </w:r>
          </w:p>
        </w:tc>
        <w:tc>
          <w:tcPr>
            <w:tcW w:type="dxa" w:w="2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3 business days</w:t>
            </w:r>
          </w:p>
        </w:tc>
      </w:tr>
      <w:tr>
        <w:tc>
          <w:tcPr>
            <w:tcW w:type="dxa" w:w="4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DP-A. Proceed / partial / defer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Policy Owner</w:t>
            </w:r>
          </w:p>
        </w:tc>
        <w:tc>
          <w:tcPr>
            <w:tcW w:type="dxa" w:w="2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1 business day after Steps 2+3</w:t>
            </w:r>
          </w:p>
        </w:tc>
      </w:tr>
      <w:tr>
        <w:tc>
          <w:tcPr>
            <w:tcW w:type="dxa" w:w="4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4. Production deletion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Data Ops</w:t>
            </w:r>
          </w:p>
        </w:tc>
        <w:tc>
          <w:tcPr>
            <w:tcW w:type="dxa" w:w="2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21 calendar days</w:t>
            </w:r>
          </w:p>
        </w:tc>
      </w:tr>
      <w:tr>
        <w:tc>
          <w:tcPr>
            <w:tcW w:type="dxa" w:w="4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5. Backup treatment (delete or cryptographic erasure)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Data Ops</w:t>
            </w:r>
          </w:p>
        </w:tc>
        <w:tc>
          <w:tcPr>
            <w:tcW w:type="dxa" w:w="2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30 calendar days</w:t>
            </w:r>
          </w:p>
        </w:tc>
      </w:tr>
      <w:tr>
        <w:tc>
          <w:tcPr>
            <w:tcW w:type="dxa" w:w="4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6. Subprocessor propagation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Customer Success + InfoSec</w:t>
            </w:r>
          </w:p>
        </w:tc>
        <w:tc>
          <w:tcPr>
            <w:tcW w:type="dxa" w:w="2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30 calendar days</w:t>
            </w:r>
          </w:p>
        </w:tc>
      </w:tr>
      <w:tr>
        <w:tc>
          <w:tcPr>
            <w:tcW w:type="dxa" w:w="4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DP-B. Customer confirmation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Customer Success</w:t>
            </w:r>
          </w:p>
        </w:tc>
        <w:tc>
          <w:tcPr>
            <w:tcW w:type="dxa" w:w="2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5 business days</w:t>
            </w:r>
          </w:p>
        </w:tc>
      </w:tr>
      <w:tr>
        <w:tc>
          <w:tcPr>
            <w:tcW w:type="dxa" w:w="4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7. Closure with signed audit record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Policy Owner</w:t>
            </w:r>
          </w:p>
        </w:tc>
        <w:tc>
          <w:tcPr>
            <w:tcW w:type="dxa" w:w="2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5 business days post-confirmation</w:t>
            </w:r>
          </w:p>
        </w:tc>
      </w:tr>
    </w:tbl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Key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Time-to-production-deletion median ≤ 14 days; 95th-percentile ≤ 21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Time-to-closure median ≤ 30 days; 95th-percentile ≤ 45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Subprocessor confirmation completeness: 100%.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Reported quarterly to the Approver; available to internal audit on request.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00D4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421"/>
                <w:sz w:val="22"/>
                <w:szCs w:val="22"/>
              </w:rPr>
              <w:t xml:space="preserve">Responsibilities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Process Owner ({{POLICY_OWNER}})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Maintains this Process, schedules reviews, processes exception requests, and reports on metrics.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Approver ({{APPROVER_NAME}}, {{APPROVER_TITLE}})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Provides executive approval at issuance and annual review.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Customer Success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Receives the request from the customer; confirms scope and authority; communicates timeline.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Data Operations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Executes deletion in production systems and authoritative data stores.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Legal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Reviews any legal hold or retention obligation that may suspend deletion.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Information Security</w:t>
            </w:r>
          </w:p>
        </w:tc>
        <w:tc>
          <w:tcPr>
            <w:tcW w:type="dxa" w:w="61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E1421"/>
                <w:sz w:val="22"/>
                <w:szCs w:val="22"/>
              </w:rPr>
              <w:t xml:space="preserve">Confirms cryptographic erasure where applicable; verifies completion.</w:t>
            </w:r>
          </w:p>
        </w:tc>
      </w:tr>
    </w:tbl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Review and Maintenance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Next review 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{{NEXT_REVIEW_DATE}}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Review frequency: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Annually, or upon a material change in customer agreement template, retention obligations, or system architecture.</w:t>
      </w:r>
    </w:p>
    <w:p>
      <w:pPr>
        <w:spacing w:after="1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E1421"/>
          <w:sz w:val="22"/>
          <w:szCs w:val="22"/>
        </w:rPr>
        <w:t xml:space="preserve">Review triggers: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 material change in applicable laws, regulations, or contractual obligations.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Findings from an internal or external audit that affect this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 security or privacy incident that exposes a gap in the 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An organizational change (acquisition, divestiture, new business line) that affects scope.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Related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Data Retention and Disposal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Data Classification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HIPAA Privacy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Customer Data Subject Access Request Procedure</w:t>
      </w:r>
    </w:p>
    <w:p>
      <w:pPr>
        <w:pStyle w:val="Heading2"/>
        <w:spacing w:after="140" w:before="240"/>
      </w:pPr>
      <w:r>
        <w:rPr>
          <w:rFonts w:ascii="Calibri Light" w:cs="Calibri Light" w:eastAsia="Calibri Light" w:hAnsi="Calibri Light"/>
          <w:b/>
          <w:bCs/>
          <w:color w:val="0E1421"/>
          <w:sz w:val="28"/>
          <w:szCs w:val="28"/>
        </w:rPr>
        <w:t xml:space="preserve">Approval Signatures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This document becomes effective upon execution by both signatories below.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Policy Owner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Approved by: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\sig1\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{{POLICY_OWNER}}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\name1\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{{POLICY_OWNER_TITLE}}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\title1\</w:t>
      </w:r>
    </w:p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\date1\</w:t>
      </w:r>
    </w:p>
    <w:p>
      <w:pPr>
        <w:pStyle w:val="Heading3"/>
        <w:spacing w:after="100" w:before="200"/>
      </w:pPr>
      <w:r>
        <w:rPr>
          <w:rFonts w:ascii="Calibri Light" w:cs="Calibri Light" w:eastAsia="Calibri Light" w:hAnsi="Calibri Light"/>
          <w:b/>
          <w:bCs/>
          <w:color w:val="3A4453"/>
          <w:sz w:val="24"/>
          <w:szCs w:val="24"/>
        </w:rPr>
        <w:t xml:space="preserve">Approver</w:t>
      </w:r>
    </w:p>
    <w:p>
      <w:pPr>
        <w:spacing w:after="1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Approved by: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\sig2\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{{APPROVER_NAME}}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\name2\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{{APPROVER_TITLE}}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\title2\</w:t>
      </w:r>
    </w:p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Date: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____________________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E1421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FFFFFF"/>
          <w:sz w:val="2"/>
          <w:szCs w:val="2"/>
        </w:rPr>
        <w:t xml:space="preserve">\date2\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Calibri Light" w:cs="Calibri Light" w:eastAsia="Calibri Light" w:hAnsi="Calibri Light"/>
        <w:color w:val="0094B0"/>
        <w:spacing w:val="60"/>
        <w:sz w:val="16"/>
        <w:szCs w:val="16"/>
      </w:rPr>
      <w:t xml:space="preserve">Audit-ready, never compliant.</w:t>
    </w:r>
    <w:r>
      <w:t xml:space="preserve">	</w:t>
    </w:r>
    <w:r>
      <w:rPr>
        <w:rFonts w:ascii="Calibri" w:cs="Calibri" w:eastAsia="Calibri" w:hAnsi="Calibri"/>
        <w:color w:val="8A93A6"/>
        <w:sz w:val="16"/>
        <w:szCs w:val="16"/>
      </w:rPr>
      <w:t xml:space="preserve">Page </w:t>
    </w:r>
    <w:r>
      <w:rPr>
        <w:rFonts w:ascii="Calibri" w:cs="Calibri" w:eastAsia="Calibri" w:hAnsi="Calibri"/>
        <w:color w:val="8A93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93A6"/>
        <w:sz w:val="16"/>
        <w:szCs w:val="16"/>
      </w:rPr>
      <w:t xml:space="preserve"> of </w:t>
    </w:r>
    <w:r>
      <w:rPr>
        <w:rFonts w:ascii="Calibri" w:cs="Calibri" w:eastAsia="Calibri" w:hAnsi="Calibri"/>
        <w:color w:val="8A93A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F5" w:sz="6" w:space="4"/>
      </w:pBdr>
      <w:tabs>
        <w:tab w:val="right" w:pos="10080"/>
      </w:tabs>
    </w:pPr>
    <w:r>
      <w:rPr>
        <w:rFonts w:ascii="Calibri Light" w:cs="Calibri Light" w:eastAsia="Calibri Light" w:hAnsi="Calibri Light"/>
        <w:color w:val="0094B0"/>
        <w:spacing w:val="30"/>
        <w:sz w:val="18"/>
        <w:szCs w:val="18"/>
      </w:rPr>
      <w:t xml:space="preserve">Customer Data Deletion Request Process</w:t>
    </w:r>
    <w:r>
      <w:t xml:space="preserve">	</w:t>
    </w:r>
    <w:r>
      <w:rPr>
        <w:rFonts w:ascii="Calibri" w:cs="Calibri" w:eastAsia="Calibri" w:hAnsi="Calibri"/>
        <w:color w:val="8A93A6"/>
        <w:sz w:val="16"/>
        <w:szCs w:val="16"/>
      </w:rPr>
      <w:t xml:space="preserve">{{CLASSIFICATION}}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  <w:lvl w:ilvl="1" w15:tentative="1">
      <w:start w:val="1"/>
      <w:numFmt w:val="lowerLetter"/>
      <w:lvlText w:val="%2.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E14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 Light" w:cs="Calibri Light" w:eastAsia="Calibri Light" w:hAnsi="Calibri Light"/>
      <w:b/>
      <w:bCs/>
      <w:color w:val="0E142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 Light" w:cs="Calibri Light" w:eastAsia="Calibri Light" w:hAnsi="Calibri Light"/>
      <w:b/>
      <w:bCs/>
      <w:color w:val="0E142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 Light" w:cs="Calibri Light" w:eastAsia="Calibri Light" w:hAnsi="Calibri Light"/>
      <w:b/>
      <w:bCs/>
      <w:color w:val="3A445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Data Deletion Request Process</dc:title>
  <dc:creator>Midnight</dc:creator>
  <dc:description>Process Flow</dc:description>
  <cp:lastModifiedBy>Un-named</cp:lastModifiedBy>
  <cp:revision>1</cp:revision>
  <dcterms:created xsi:type="dcterms:W3CDTF">2026-05-16T15:36:25.784Z</dcterms:created>
  <dcterms:modified xsi:type="dcterms:W3CDTF">2026-05-16T15:36:25.784Z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