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Calibri Light" w:cs="Calibri Light" w:eastAsia="Calibri Light" w:hAnsi="Calibri Light"/>
          <w:b/>
          <w:bCs/>
          <w:color w:val="8A93A6"/>
          <w:sz w:val="24"/>
          <w:szCs w:val="24"/>
        </w:rPr>
        <w:t xml:space="preserve">[LOGO: organization_logo.png]</w:t>
      </w:r>
    </w:p>
    <w:p>
      <w:pPr>
        <w:spacing w:after="12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(Reserve 2" x 2" — center)</w:t>
      </w:r>
    </w:p>
    <w:p>
      <w:pPr>
        <w:pBdr>
          <w:bottom w:val="single" w:color="00D4F5" w:sz="24" w:space="1"/>
        </w:pBdr>
        <w:spacing w:after="200" w:before="80"/>
      </w:pPr>
      <w:r>
        <w:t xml:space="preserve"/>
      </w:r>
    </w:p>
    <w:p>
      <w:pPr>
        <w:spacing w:after="10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100"/>
          <w:sz w:val="24"/>
          <w:szCs w:val="24"/>
        </w:rPr>
        <w:t xml:space="preserve">RISK ASSESSMENT</w:t>
      </w:r>
    </w:p>
    <w:p>
      <w:pPr>
        <w:spacing w:after="200" w:before="0"/>
        <w:jc w:val="center"/>
      </w:pPr>
      <w:r>
        <w:rPr>
          <w:rFonts w:ascii="Calibri Light" w:cs="Calibri Light" w:eastAsia="Calibri Light" w:hAnsi="Calibri Light"/>
          <w:b/>
          <w:bCs/>
          <w:color w:val="0E1421"/>
          <w:sz w:val="56"/>
          <w:szCs w:val="56"/>
        </w:rPr>
        <w:t xml:space="preserve">Annual Security Risk Assessment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{{DOCUMENT_TITLE}}</w:t>
      </w:r>
    </w:p>
    <w:p>
      <w:pPr>
        <w:pBdr>
          <w:bottom w:val="single" w:color="00D4F5" w:sz="8" w:space="1"/>
        </w:pBdr>
        <w:spacing w:after="200" w:before="80"/>
      </w:pPr>
      <w:r>
        <w:t xml:space="preserve"/>
      </w:r>
    </w:p>
    <w:tbl>
      <w:tblPr>
        <w:tblW w:type="dxa" w:w="85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{{VERSION}}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Owner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{{POLICY_OWNER}}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Approver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{{APPROVER_NAME}}, {{APPROVER_TITLE}}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{{CLASSIFICATION}}</w:t>
            </w:r>
          </w:p>
        </w:tc>
      </w:tr>
    </w:tbl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14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80"/>
          <w:sz w:val="20"/>
          <w:szCs w:val="20"/>
        </w:rPr>
        <w:t xml:space="preserve">Audit-ready, never compliant.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4360"/>
        <w:gridCol w:w="2200"/>
      </w:tblGrid>
      <w:tr>
        <w:trPr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Description of Changes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Author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1.0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Initial issuance.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{{AUTHOR_NAME}}</w:t>
            </w:r>
          </w:p>
        </w:tc>
      </w:tr>
    </w:tbl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A93A6"/>
          <w:sz w:val="20"/>
          <w:szCs w:val="20"/>
        </w:rPr>
        <w:t xml:space="preserve">(Right-click and select "Update Field" in Word to populate this table.)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Annual Risk Assessment — At a Glance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Period: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{{ASSESSMENT_PERIOD}}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Scope: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All systems and processes holding Restricted or Confidential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Method: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NIST 800-30-aligned. Likelihood × Impact (1-5 each). Inherent and residual recorded.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Owner: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{{POLICY_OWNER}} | Reviewed annually + quarterly for High/Critical residuals | Next: {{NEXT_REVIEW_DATE}}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Top Risks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1600"/>
        <w:gridCol w:w="1760"/>
      </w:tblGrid>
      <w:tr>
        <w:trPr>
          <w:tblHeader/>
        </w:trPr>
        <w:tc>
          <w:tcPr>
            <w:tcW w:type="dxa" w:w="5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Inherent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Treatment</w:t>
            </w:r>
          </w:p>
        </w:tc>
        <w:tc>
          <w:tcPr>
            <w:tcW w:type="dxa" w:w="1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Residual</w:t>
            </w:r>
          </w:p>
        </w:tc>
      </w:tr>
      <w:tr>
        <w:tc>
          <w:tcPr>
            <w:tcW w:type="dxa" w:w="5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Credential compromise → prod DB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Mitigate</w:t>
            </w:r>
          </w:p>
        </w:tc>
        <w:tc>
          <w:tcPr>
            <w:tcW w:type="dxa" w:w="1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5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Customer-data bucket misconfigured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Mitigate</w:t>
            </w:r>
          </w:p>
        </w:tc>
        <w:tc>
          <w:tcPr>
            <w:tcW w:type="dxa" w:w="1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5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Subprocessor incident → PHI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Mitigate + Transfer</w:t>
            </w:r>
          </w:p>
        </w:tc>
        <w:tc>
          <w:tcPr>
            <w:tcW w:type="dxa" w:w="1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Phishing → credential compromise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Mitigate</w:t>
            </w:r>
          </w:p>
        </w:tc>
        <w:tc>
          <w:tcPr>
            <w:tcW w:type="dxa" w:w="1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Stale governance at audit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Mitigate</w:t>
            </w:r>
          </w:p>
        </w:tc>
        <w:tc>
          <w:tcPr>
            <w:tcW w:type="dxa" w:w="1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5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Insider exfil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Mitigate</w:t>
            </w:r>
          </w:p>
        </w:tc>
        <w:tc>
          <w:tcPr>
            <w:tcW w:type="dxa" w:w="1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5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Regional cloud outage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Mitigate + Accept</w:t>
            </w:r>
          </w:p>
        </w:tc>
        <w:tc>
          <w:tcPr>
            <w:tcW w:type="dxa" w:w="1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Change-management privacy regression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Mitigate</w:t>
            </w:r>
          </w:p>
        </w:tc>
        <w:tc>
          <w:tcPr>
            <w:tcW w:type="dxa" w:w="1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Low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Residual Acceptances Requiring Signature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Subprocessor incident — Medium residual.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Workforce phishing — Medium residual.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Regional cloud outage — Medium residual.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Software supply-chain compromise — Medium residual.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Sign-off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Approver signs the Assessment and each individual residual acceptance. Acceptances reviewed quarterly; renewed at next annual cycle.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Assessment Owner ({{POLICY_OWNER}})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Maintains the methodology, schedules the assessment, and produces the annual report.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Approver ({{APPROVER_NAME}}, {{APPROVER_TITLE}})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Approves the assessment and acceptances of residual risk.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Risk Workshop Participants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Engineering, Customer Success, Legal, Finance, HR leads providing in-scope context.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Information Security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Owns the threat library, vulnerability inputs, and risk-scoring rubric.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Risk Acceptor (per risk)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Executive named on the risk record who accepts residual risk.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Review and Maintenance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Next review 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{{NEXT_REVIEW_DATE}}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frequency: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Annually; risks of High or Critical residual rating reviewed quarterly.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triggers: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material change in applicable laws, regulations, or contractual obligations.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Findings from an internal or external audit that affect this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security or privacy incident that exposes a gap in the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 organizational change (acquisition, divestiture, new business line) that affects scope.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Risk Management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Information Security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Vendor Management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Business Continuity Plan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Approval Signatures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This document becomes effective upon execution by both signatories below.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Policy Owner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\sig1\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\name1\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\title1\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\date1\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Approver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\sig2\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{{APPROVER_NAME}}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\name2\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\title2\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\date2\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60"/>
        <w:sz w:val="16"/>
        <w:szCs w:val="16"/>
      </w:rPr>
      <w:t xml:space="preserve">Audit-ready, never compliant.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Page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93A6"/>
        <w:sz w:val="16"/>
        <w:szCs w:val="16"/>
      </w:rPr>
      <w:t xml:space="preserve"> of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5" w:sz="6" w:space="4"/>
      </w:pBd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30"/>
        <w:sz w:val="18"/>
        <w:szCs w:val="18"/>
      </w:rPr>
      <w:t xml:space="preserve">Annual Security Risk Assessment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{{CLASSIFICATION}}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  <w:lvl w:ilvl="1" w15:tentative="1">
      <w:start w:val="1"/>
      <w:numFmt w:val="lowerLetter"/>
      <w:lvlText w:val="%2.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E14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 Light" w:cs="Calibri Light" w:eastAsia="Calibri Light" w:hAnsi="Calibri Light"/>
      <w:b/>
      <w:bCs/>
      <w:color w:val="0E142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 Light" w:cs="Calibri Light" w:eastAsia="Calibri Light" w:hAnsi="Calibri Light"/>
      <w:b/>
      <w:bCs/>
      <w:color w:val="0E14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 Light" w:cs="Calibri Light" w:eastAsia="Calibri Light" w:hAnsi="Calibri Light"/>
      <w:b/>
      <w:bCs/>
      <w:color w:val="3A44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Security Risk Assessment</dc:title>
  <dc:creator>Midnight</dc:creator>
  <dc:description>Risk Assessment</dc:description>
  <cp:lastModifiedBy>Un-named</cp:lastModifiedBy>
  <cp:revision>1</cp:revision>
  <dcterms:created xsi:type="dcterms:W3CDTF">2026-05-16T15:43:41.220Z</dcterms:created>
  <dcterms:modified xsi:type="dcterms:W3CDTF">2026-05-16T15:43:41.220Z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