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 Light" w:cs="Calibri Light" w:eastAsia="Calibri Light" w:hAnsi="Calibri Light"/>
          <w:b/>
          <w:bCs/>
          <w:color w:val="8A93A6"/>
          <w:sz w:val="24"/>
          <w:szCs w:val="24"/>
        </w:rPr>
        <w:t xml:space="preserve">[LOGO: organization_logo.png]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(Reserve 2" x 2" — center)</w:t>
      </w:r>
    </w:p>
    <w:p>
      <w:pPr>
        <w:pBdr>
          <w:bottom w:val="single" w:color="00D4F5" w:sz="24" w:space="1"/>
        </w:pBdr>
        <w:spacing w:after="20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100"/>
          <w:sz w:val="24"/>
          <w:szCs w:val="24"/>
        </w:rPr>
        <w:t xml:space="preserve">STANDARD</w:t>
      </w:r>
    </w:p>
    <w:p>
      <w:pPr>
        <w:spacing w:after="200" w:before="0"/>
        <w:jc w:val="center"/>
      </w:pPr>
      <w:r>
        <w:rPr>
          <w:rFonts w:ascii="Calibri Light" w:cs="Calibri Light" w:eastAsia="Calibri Light" w:hAnsi="Calibri Light"/>
          <w:b/>
          <w:bCs/>
          <w:color w:val="0E1421"/>
          <w:sz w:val="56"/>
          <w:szCs w:val="56"/>
        </w:rPr>
        <w:t xml:space="preserve">Encryption Standard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{{DOCUMENT_TITLE}}</w:t>
      </w:r>
    </w:p>
    <w:p>
      <w:pPr>
        <w:pBdr>
          <w:bottom w:val="single" w:color="00D4F5" w:sz="8" w:space="1"/>
        </w:pBdr>
        <w:spacing w:after="200" w:before="80"/>
      </w:pPr>
      <w:r>
        <w:t xml:space="preserve"/>
      </w:r>
    </w:p>
    <w:tbl>
      <w:tblPr>
        <w:tblW w:type="dxa" w:w="8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{{VERSION}}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{{POLICY_OWNER}}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Approver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{{APPROVER_NAME}}, {{APPROVER_TITLE}}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{{CLASSIFICATION}}</w:t>
            </w:r>
          </w:p>
        </w:tc>
      </w:tr>
    </w:tbl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14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80"/>
          <w:sz w:val="20"/>
          <w:szCs w:val="20"/>
        </w:rPr>
        <w:t xml:space="preserve">Audit-ready, never compliant.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360"/>
        <w:gridCol w:w="2200"/>
      </w:tblGrid>
      <w:tr>
        <w:trPr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Description of Changes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Author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1.0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Initial issuance.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{{AUTHOR_NAME}}</w:t>
            </w:r>
          </w:p>
        </w:tc>
      </w:tr>
    </w:tbl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A93A6"/>
          <w:sz w:val="20"/>
          <w:szCs w:val="20"/>
        </w:rPr>
        <w:t xml:space="preserve">(Right-click and select "Update Field" in Word to populate this table.)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Encryption Standard — At a Glance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Applies 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All Restricted and Confidential data, at rest and in transit, across all systems we own or vendor on our behalf.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What it does: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Defines approved cryptographic algorithms, key management requirements, and TLS standards.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Encryption posture is one of the first ten things every auditor asks about.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Owner: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 | Reviewed annually | Next review: {{NEXT_REVIEW_DATE}}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Use This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Where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Use</w:t>
            </w:r>
          </w:p>
        </w:tc>
        <w:tc>
          <w:tcPr>
            <w:tcW w:type="dxa" w:w="2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Min Strength</w:t>
            </w:r>
          </w:p>
        </w:tc>
      </w:tr>
      <w:tr>
        <w:tc>
          <w:tcPr>
            <w:tcW w:type="dxa" w:w="3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At rest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AES-GCM</w:t>
            </w:r>
          </w:p>
        </w:tc>
        <w:tc>
          <w:tcPr>
            <w:tcW w:type="dxa" w:w="2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256-bit key</w:t>
            </w:r>
          </w:p>
        </w:tc>
      </w:tr>
      <w:tr>
        <w:tc>
          <w:tcPr>
            <w:tcW w:type="dxa" w:w="3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 transit (external)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TLS 1.2+ (TLS 1.3 preferred)</w:t>
            </w:r>
          </w:p>
        </w:tc>
        <w:tc>
          <w:tcPr>
            <w:tcW w:type="dxa" w:w="2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PFS suites only</w:t>
            </w:r>
          </w:p>
        </w:tc>
      </w:tr>
      <w:tr>
        <w:tc>
          <w:tcPr>
            <w:tcW w:type="dxa" w:w="3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 transit (internal, Restricted)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mTLS</w:t>
            </w:r>
          </w:p>
        </w:tc>
        <w:tc>
          <w:tcPr>
            <w:tcW w:type="dxa" w:w="2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256-bit key</w:t>
            </w:r>
          </w:p>
        </w:tc>
      </w:tr>
      <w:tr>
        <w:tc>
          <w:tcPr>
            <w:tcW w:type="dxa" w:w="3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Passwords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Argon2id</w:t>
            </w:r>
          </w:p>
        </w:tc>
        <w:tc>
          <w:tcPr>
            <w:tcW w:type="dxa" w:w="2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Per spec</w:t>
            </w:r>
          </w:p>
        </w:tc>
      </w:tr>
      <w:tr>
        <w:tc>
          <w:tcPr>
            <w:tcW w:type="dxa" w:w="3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Public-key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RSA-PSS, ECDSA P-256+, or Ed25519</w:t>
            </w:r>
          </w:p>
        </w:tc>
        <w:tc>
          <w:tcPr>
            <w:tcW w:type="dxa" w:w="2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RSA 2048 / ECC 256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Not This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MD5, SHA-1, DES, 3DES, RC4. TLS 1.0, TLS 1.1, any SSL. Hard-coded keys. Any algorithm with a published cryptanalytic break.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Production keys in KMS or HSM. Never in source, configs, or env vars on unmanaged hosts.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Rotate annually (Restricted) or every two years (Confidential). Faster on suspected compromise.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Multi-factor authentication required for any key admin operation.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Destruction is logged. Cryptographic erasure (delete the key) is an approved disposal method.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Verification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Annual Information Security review. Per-change review at change management. Findings tracked in the Cryptographic Findings Register with assigned owners and SLAs.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Exceptions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Submit to {{POLICY_OWNER}}. Decision in ten business days. Prohibited-algorithm exceptions require {{APPROVER_NAME}} approval. Max duration twelve months. Tracked in the Exception Register.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Standard Owner ({{POLICY_OWNER}})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Maintains this Standard, schedules reviews, processes exception requests, and reviews cryptographic library advisories.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Approver ({{APPROVER_NAME}}, {{APPROVER_TITLE}})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Provides executive approval at issuance and at each annual review.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Implementation Lead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Validates that the technical requirements of this Standard are implemented in production systems within the timeframes specified.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End User / System Operator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Operates within the Standard. Reports cryptographic incidents and approved-algorithm exceptions through documented channels.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Review and Maintenance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Next review 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{{NEXT_REVIEW_DATE}}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frequency: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Annually, or upon a qualifying trigger (cryptographic library deprecation, algorithm advisory, audit finding).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triggers: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material change in applicable laws, regulations, or contractual obligations.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Findings from an internal or external audit that affect this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security or privacy incident that exposes a gap in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 organizational change (acquisition, divestiture, new business line) that affects scope.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Information Security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Access Control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Data Classification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Key Management Procedure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Approval Signatures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document becomes effective upon execution by both signatories below.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Policy Owner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\sig1\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\name1\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\title1\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\date1\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Approver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\sig2\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{{APPROVER_NAME}}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\name2\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\title2\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\date2\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60"/>
        <w:sz w:val="16"/>
        <w:szCs w:val="16"/>
      </w:rPr>
      <w:t xml:space="preserve">Audit-ready, never compliant.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Page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3A6"/>
        <w:sz w:val="16"/>
        <w:szCs w:val="16"/>
      </w:rPr>
      <w:t xml:space="preserve"> of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5" w:sz="6" w:space="4"/>
      </w:pBd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30"/>
        <w:sz w:val="18"/>
        <w:szCs w:val="18"/>
      </w:rPr>
      <w:t xml:space="preserve">Encryption Standard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{{CLASSIFICATION}}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lowerLetter"/>
      <w:lvlText w:val="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 Light" w:cs="Calibri Light" w:eastAsia="Calibri Light" w:hAnsi="Calibri Light"/>
      <w:b/>
      <w:bCs/>
      <w:color w:val="0E14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 Light" w:cs="Calibri Light" w:eastAsia="Calibri Light" w:hAnsi="Calibri Light"/>
      <w:b/>
      <w:bCs/>
      <w:color w:val="0E14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b/>
      <w:bCs/>
      <w:color w:val="3A44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Encryption Standard</dc:title>
  <dc:creator>Midnight</dc:creator>
  <dc:description>Standard</dc:description>
  <cp:lastModifiedBy>Un-named</cp:lastModifiedBy>
  <cp:revision>1</cp:revision>
  <dcterms:created xsi:type="dcterms:W3CDTF">2026-05-16T15:31:39.936Z</dcterms:created>
  <dcterms:modified xsi:type="dcterms:W3CDTF">2026-05-16T15:31:39.936Z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