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80" w:before="0"/>
        <w:jc w:val="center"/>
      </w:pPr>
      <w:r>
        <w:rPr>
          <w:rFonts w:ascii="Calibri Light" w:cs="Calibri Light" w:eastAsia="Calibri Light" w:hAnsi="Calibri Light"/>
          <w:b/>
          <w:bCs/>
          <w:color w:val="8A93A6"/>
          <w:sz w:val="24"/>
          <w:szCs w:val="24"/>
        </w:rPr>
        <w:t xml:space="preserve">[LOGO: organization_logo.png]</w:t>
      </w:r>
    </w:p>
    <w:p>
      <w:pPr>
        <w:spacing w:after="12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(Reserve 2" x 2" — center)</w:t>
      </w:r>
    </w:p>
    <w:p>
      <w:pPr>
        <w:pBdr>
          <w:bottom w:val="single" w:color="00D4F5" w:sz="24" w:space="1"/>
        </w:pBdr>
        <w:spacing w:after="200" w:before="80"/>
      </w:pPr>
      <w:r>
        <w:t xml:space="preserve"/>
      </w:r>
    </w:p>
    <w:p>
      <w:pPr>
        <w:spacing w:after="10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100"/>
          <w:sz w:val="24"/>
          <w:szCs w:val="24"/>
        </w:rPr>
        <w:t xml:space="preserve">TRAINING MODULE</w:t>
      </w:r>
    </w:p>
    <w:p>
      <w:pPr>
        <w:spacing w:after="200" w:before="0"/>
        <w:jc w:val="center"/>
      </w:pPr>
      <w:r>
        <w:rPr>
          <w:rFonts w:ascii="Calibri Light" w:cs="Calibri Light" w:eastAsia="Calibri Light" w:hAnsi="Calibri Light"/>
          <w:b/>
          <w:bCs/>
          <w:color w:val="0E1421"/>
          <w:sz w:val="56"/>
          <w:szCs w:val="56"/>
        </w:rPr>
        <w:t xml:space="preserve">HIPAA Privacy Workforce Training</w:t>
      </w:r>
    </w:p>
    <w:p>
      <w:pPr>
        <w:spacing w:after="600" w:before="0"/>
        <w:jc w:val="center"/>
      </w:pPr>
      <w:r>
        <w:rPr>
          <w:rFonts w:ascii="Calibri" w:cs="Calibri" w:eastAsia="Calibri" w:hAnsi="Calibri"/>
          <w:color w:val="8A93A6"/>
          <w:sz w:val="18"/>
          <w:szCs w:val="18"/>
        </w:rPr>
        <w:t xml:space="preserve">{{DOCUMENT_TITLE}}</w:t>
      </w:r>
    </w:p>
    <w:p>
      <w:pPr>
        <w:pBdr>
          <w:bottom w:val="single" w:color="00D4F5" w:sz="8" w:space="1"/>
        </w:pBdr>
        <w:spacing w:after="200" w:before="80"/>
      </w:pPr>
      <w:r>
        <w:t xml:space="preserve"/>
      </w:r>
    </w:p>
    <w:tbl>
      <w:tblPr>
        <w:tblW w:type="dxa" w:w="856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5760"/>
      </w:tblGrid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{{VERSION}}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Effective Date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Owner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{{POLICY_OWNER}}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Approver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{{APPROVER_NAME}}, {{APPROVER_TITLE}}</w:t>
            </w:r>
          </w:p>
        </w:tc>
      </w:tr>
      <w:tr>
        <w:tc>
          <w:tcPr>
            <w:tcW w:type="dxa" w:w="28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E7EAF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Classification</w:t>
            </w:r>
          </w:p>
        </w:tc>
        <w:tc>
          <w:tcPr>
            <w:tcW w:type="dxa" w:w="57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{{CLASSIFICATION}}</w:t>
            </w:r>
          </w:p>
        </w:tc>
      </w:tr>
    </w:tbl>
    <w:p>
      <w:pPr>
        <w:spacing w:after="8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spacing w:after="140" w:before="0"/>
        <w:jc w:val="center"/>
      </w:pPr>
      <w:r>
        <w:rPr>
          <w:rFonts w:ascii="Calibri Light" w:cs="Calibri Light" w:eastAsia="Calibri Light" w:hAnsi="Calibri Light"/>
          <w:b/>
          <w:bCs/>
          <w:color w:val="0094B0"/>
          <w:spacing w:val="80"/>
          <w:sz w:val="20"/>
          <w:szCs w:val="20"/>
        </w:rPr>
        <w:t xml:space="preserve">Audit-ready, never compliant.</w:t>
      </w:r>
    </w:p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4360"/>
        <w:gridCol w:w="2200"/>
      </w:tblGrid>
      <w:tr>
        <w:trPr>
          <w:tblHeader/>
        </w:trP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Version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Date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Description of Changes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Author</w:t>
            </w:r>
          </w:p>
        </w:tc>
      </w:tr>
      <w:tr>
        <w:tc>
          <w:tcPr>
            <w:tcW w:type="dxa" w:w="11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1.0</w:t>
            </w:r>
          </w:p>
        </w:tc>
        <w:tc>
          <w:tcPr>
            <w:tcW w:type="dxa" w:w="17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{{EFFECTIVE_DATE}}</w:t>
            </w:r>
          </w:p>
        </w:tc>
        <w:tc>
          <w:tcPr>
            <w:tcW w:type="dxa" w:w="43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Initial issuance.</w:t>
            </w:r>
          </w:p>
        </w:tc>
        <w:tc>
          <w:tcPr>
            <w:tcW w:type="dxa" w:w="2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{{AUTHOR_NAME}}</w:t>
            </w:r>
          </w:p>
        </w:tc>
      </w:tr>
    </w:tbl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Table of Contents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8A93A6"/>
          <w:sz w:val="20"/>
          <w:szCs w:val="20"/>
        </w:rPr>
        <w:t xml:space="preserve">(Right-click and select "Update Field" in Word to populate this table.)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HIPAA Privacy Training — At a Glance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Audience: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Every workforce member with PHI access. Engineering, customer success, ops, security, contractors.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Duration: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Approximately 60 minutes plus a knowledge check.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Why it matters: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Security Rule 164.308(a)(5) requires it. OCR audits look at completion rates.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Owner: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 | Recertify annually | Next review: {{NEXT_REVIEW_DATE}}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What the Learner Walks Away With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Knows what PHI is (the 18 identifiers) and what isn't (de-identified data).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Understands we're a Business Associate and what that means for our obligations.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Applies minimum-necessary in daily work.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Knows the difference between an incident and a Breach.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Knows how and where to report quickly — and that we don't retaliate.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Knowledge Check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Five questions, mixed format. Passing score: 80%. Three failed attempts within 90 days triggers an instructor-led review with the Privacy Officer.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Completion Criteria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Complete all six content sections in order.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Score 80%+ on the knowledge check.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Acknowledge the HIPAA Privacy Policy and this module in the LMS.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Recorded in workforce training record; reported to Approver quarterly.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Recertification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 recertification with year-over-year content updates. 30-day grace before manager escalation. 60 days triggers access review.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Roles and Responsibilities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Role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00D4F5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E1421"/>
                <w:sz w:val="22"/>
                <w:szCs w:val="22"/>
              </w:rPr>
              <w:t xml:space="preserve">Responsibilities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Training Owner ({{POLICY_OWNER}})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Maintains this module, schedules reviews, and signs off on annual content updates.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Approver ({{APPROVER_NAME}}, {{APPROVER_TITLE}})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Provides executive approval at issuance and annual review.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HIPAA Privacy Officer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Subject-matter authority for content; reviews any material change to the Privacy Rule references.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Workforce Member (Learner)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shd w:fill="F4F7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Completes the module within the assigned window; acknowledges completion in the learning system.</w:t>
            </w:r>
          </w:p>
        </w:tc>
      </w:tr>
      <w:tr>
        <w:tc>
          <w:tcPr>
            <w:tcW w:type="dxa" w:w="320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Office Manager / HR Coordinator</w:t>
            </w:r>
          </w:p>
        </w:tc>
        <w:tc>
          <w:tcPr>
            <w:tcW w:type="dxa" w:w="6160"/>
            <w:tcBorders>
              <w:top w:val="single" w:color="D6DEE8" w:sz="4"/>
              <w:left w:val="single" w:color="D6DEE8" w:sz="4"/>
              <w:bottom w:val="single" w:color="D6DEE8" w:sz="4"/>
              <w:right w:val="single" w:color="D6DEE8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E1421"/>
                <w:sz w:val="22"/>
                <w:szCs w:val="22"/>
              </w:rPr>
              <w:t xml:space="preserve">Tracks completion; chases overdue completions; reports completion to the Approver quarterly.</w:t>
            </w:r>
          </w:p>
        </w:tc>
      </w:tr>
    </w:tbl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Review and Maintenance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Next review 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{{NEXT_REVIEW_DATE}}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frequency: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Annually, or upon material change to HIPAA Privacy Rule guidance, the Organization's BAA template, or workforce composition.</w:t>
      </w:r>
    </w:p>
    <w:p>
      <w:pP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0E1421"/>
          <w:sz w:val="22"/>
          <w:szCs w:val="22"/>
        </w:rPr>
        <w:t xml:space="preserve">Review triggers: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material change in applicable laws, regulations, or contractual obligations.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Findings from an internal or external audit that affect this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 security or privacy incident that exposes a gap in the document.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An organizational change (acquisition, divestiture, new business line) that affects scope.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Related Documents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HIPAA Privacy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Acceptable Use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Information Security Policy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Breach Notification Policy</w:t>
      </w:r>
    </w:p>
    <w:p>
      <w:pPr>
        <w:pStyle w:val="Heading2"/>
        <w:spacing w:after="140" w:before="240"/>
      </w:pPr>
      <w:r>
        <w:rPr>
          <w:rFonts w:ascii="Calibri Light" w:cs="Calibri Light" w:eastAsia="Calibri Light" w:hAnsi="Calibri Light"/>
          <w:b/>
          <w:bCs/>
          <w:color w:val="0E1421"/>
          <w:sz w:val="28"/>
          <w:szCs w:val="28"/>
        </w:rPr>
        <w:t xml:space="preserve">Approval Signatures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This document becomes effective upon execution by both signatories below.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/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Policy Owner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\sig1\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\name1\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{{POLICY_OWNER_TITLE}}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\title1\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\date1\</w:t>
      </w:r>
    </w:p>
    <w:p>
      <w:pPr>
        <w:pStyle w:val="Heading3"/>
        <w:spacing w:after="100" w:before="200"/>
      </w:pPr>
      <w:r>
        <w:rPr>
          <w:rFonts w:ascii="Calibri Light" w:cs="Calibri Light" w:eastAsia="Calibri Light" w:hAnsi="Calibri Light"/>
          <w:b/>
          <w:bCs/>
          <w:color w:val="3A4453"/>
          <w:sz w:val="24"/>
          <w:szCs w:val="24"/>
        </w:rPr>
        <w:t xml:space="preserve">Approver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Approved by: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\sig2\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{{APPROVER_NAME}}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\name2\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{{APPROVER_TITLE}}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\title2\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Date: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____________________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E1421"/>
          <w:sz w:val="22"/>
          <w:szCs w:val="22"/>
        </w:rPr>
        <w:t xml:space="preserve">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FFFFFF"/>
          <w:sz w:val="2"/>
          <w:szCs w:val="2"/>
        </w:rPr>
        <w:t xml:space="preserve">\date2\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60"/>
        <w:sz w:val="16"/>
        <w:szCs w:val="16"/>
      </w:rPr>
      <w:t xml:space="preserve">Audit-ready, never compliant.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Page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A93A6"/>
        <w:sz w:val="16"/>
        <w:szCs w:val="16"/>
      </w:rPr>
      <w:t xml:space="preserve"> of </w:t>
    </w:r>
    <w:r>
      <w:rPr>
        <w:rFonts w:ascii="Calibri" w:cs="Calibri" w:eastAsia="Calibri" w:hAnsi="Calibri"/>
        <w:color w:val="8A93A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D4F5" w:sz="6" w:space="4"/>
      </w:pBdr>
      <w:tabs>
        <w:tab w:val="right" w:pos="10080"/>
      </w:tabs>
    </w:pPr>
    <w:r>
      <w:rPr>
        <w:rFonts w:ascii="Calibri Light" w:cs="Calibri Light" w:eastAsia="Calibri Light" w:hAnsi="Calibri Light"/>
        <w:color w:val="0094B0"/>
        <w:spacing w:val="30"/>
        <w:sz w:val="18"/>
        <w:szCs w:val="18"/>
      </w:rPr>
      <w:t xml:space="preserve">HIPAA Privacy Workforce Training</w:t>
    </w:r>
    <w:r>
      <w:t xml:space="preserve">	</w:t>
    </w:r>
    <w:r>
      <w:rPr>
        <w:rFonts w:ascii="Calibri" w:cs="Calibri" w:eastAsia="Calibri" w:hAnsi="Calibri"/>
        <w:color w:val="8A93A6"/>
        <w:sz w:val="16"/>
        <w:szCs w:val="16"/>
      </w:rPr>
      <w:t xml:space="preserve">{{CLASSIFICATION}}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  <w:lvl w:ilvl="1" w15:tentative="1">
      <w:start w:val="1"/>
      <w:numFmt w:val="lowerLetter"/>
      <w:lvlText w:val="%2."/>
      <w:lvlJc w:val="left"/>
      <w:pPr>
        <w:ind w:left="10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E14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20"/>
      <w:outlineLvl w:val="0"/>
    </w:pPr>
    <w:rPr>
      <w:rFonts w:ascii="Calibri Light" w:cs="Calibri Light" w:eastAsia="Calibri Light" w:hAnsi="Calibri Light"/>
      <w:b/>
      <w:bCs/>
      <w:color w:val="0E142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Calibri Light" w:cs="Calibri Light" w:eastAsia="Calibri Light" w:hAnsi="Calibri Light"/>
      <w:b/>
      <w:bCs/>
      <w:color w:val="0E142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 Light" w:cs="Calibri Light" w:eastAsia="Calibri Light" w:hAnsi="Calibri Light"/>
      <w:b/>
      <w:bCs/>
      <w:color w:val="3A445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HIPAA Privacy Workforce Training</dc:title>
  <dc:creator>Midnight</dc:creator>
  <dc:description>Training Module</dc:description>
  <cp:lastModifiedBy>Un-named</cp:lastModifiedBy>
  <cp:revision>1</cp:revision>
  <dcterms:created xsi:type="dcterms:W3CDTF">2026-05-16T15:38:30.729Z</dcterms:created>
  <dcterms:modified xsi:type="dcterms:W3CDTF">2026-05-16T15:38:30.729Z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