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TRAINING MODULE</w:t>
      </w:r>
    </w:p>
    <w:p>
      <w:pPr>
        <w:spacing w:after="200" w:before="0"/>
        <w:jc w:val="center"/>
      </w:pPr>
      <w:r>
        <w:rPr>
          <w:rFonts w:ascii="Calibri Light" w:cs="Calibri Light" w:eastAsia="Calibri Light" w:hAnsi="Calibri Light"/>
          <w:b/>
          <w:bCs/>
          <w:color w:val="0E1421"/>
          <w:sz w:val="56"/>
          <w:szCs w:val="56"/>
        </w:rPr>
        <w:t xml:space="preserve">HIPAA Privacy Workforce Training</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1. Learning Objectives</w:t>
      </w:r>
    </w:p>
    <w:p>
      <w:pPr>
        <w:spacing w:after="140" w:before="0"/>
      </w:pPr>
      <w:r>
        <w:rPr>
          <w:rFonts w:ascii="Calibri" w:cs="Calibri" w:eastAsia="Calibri" w:hAnsi="Calibri"/>
          <w:b w:val="false"/>
          <w:bCs w:val="false"/>
          <w:i w:val="false"/>
          <w:iCs w:val="false"/>
          <w:color w:val="0E1421"/>
          <w:sz w:val="22"/>
          <w:szCs w:val="22"/>
        </w:rPr>
        <w:t xml:space="preserve">Upon completion of this training module, Authorized Users shall be able to:</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Identify Protected Health Information ("PHI") as defined in 45 CFR Section 160.103, including the eighteen (18) HIPAA identifiers, and distinguish PHI from de-identified information.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State the Organization's role as a HIPAA Business Associate and the corresponding obligations under its Business Associate Agreements.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Apply the minimum-necessary standard to use and disclosure of PHI in routine work activities.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Recognize the principal permitted uses and disclosures of PHI under the Privacy Rule and the requirement for written authorization in cases falling outside the permitted set.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Identify and report suspected impermissible uses or disclosures of PHI through the channels specified in the Incident Response Plan and the Breach Notification Policy.</w:t>
      </w:r>
    </w:p>
    <w:p>
      <w:pPr>
        <w:pStyle w:val="Heading2"/>
        <w:spacing w:after="140" w:before="240"/>
      </w:pPr>
      <w:r>
        <w:rPr>
          <w:rFonts w:ascii="Calibri Light" w:cs="Calibri Light" w:eastAsia="Calibri Light" w:hAnsi="Calibri Light"/>
          <w:b/>
          <w:bCs/>
          <w:color w:val="0E1421"/>
          <w:sz w:val="28"/>
          <w:szCs w:val="28"/>
        </w:rPr>
        <w:t xml:space="preserve">2. Target Audience</w:t>
      </w:r>
    </w:p>
    <w:p>
      <w:pPr>
        <w:spacing w:after="140" w:before="0"/>
      </w:pPr>
      <w:r>
        <w:rPr>
          <w:rFonts w:ascii="Calibri" w:cs="Calibri" w:eastAsia="Calibri" w:hAnsi="Calibri"/>
          <w:b w:val="false"/>
          <w:bCs w:val="false"/>
          <w:i w:val="false"/>
          <w:iCs w:val="false"/>
          <w:color w:val="0E1421"/>
          <w:sz w:val="22"/>
          <w:szCs w:val="22"/>
        </w:rPr>
        <w:t xml:space="preserve">This module is required for all Authorized Users of the Organization whose work activities may involve access to, or handling of, PHI. This includes, without limitation: members of the engineering, customer success, operations, and security functions; and any contractor with similar access. Members of the workforce whose role does not involve PHI shall complete the Organization's general security awareness module in lieu of this module, unless their role changes to involve PHI.</w:t>
      </w:r>
    </w:p>
    <w:p>
      <w:pPr>
        <w:pStyle w:val="Heading2"/>
        <w:spacing w:after="140" w:before="240"/>
      </w:pPr>
      <w:r>
        <w:rPr>
          <w:rFonts w:ascii="Calibri Light" w:cs="Calibri Light" w:eastAsia="Calibri Light" w:hAnsi="Calibri Light"/>
          <w:b/>
          <w:bCs/>
          <w:color w:val="0E1421"/>
          <w:sz w:val="28"/>
          <w:szCs w:val="28"/>
        </w:rPr>
        <w:t xml:space="preserve">3. Prerequisites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shall have completed onboarding and shall have been issued the credentials necessary to access the Organization's learning management system.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shall have read the HIPAA Privacy Policy and acknowledged receipt in writing.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No prior healthcare or compliance experience is required.</w:t>
      </w:r>
    </w:p>
    <w:p>
      <w:pPr>
        <w:pStyle w:val="Heading2"/>
        <w:spacing w:after="140" w:before="240"/>
      </w:pPr>
      <w:r>
        <w:rPr>
          <w:rFonts w:ascii="Calibri Light" w:cs="Calibri Light" w:eastAsia="Calibri Light" w:hAnsi="Calibri Light"/>
          <w:b/>
          <w:bCs/>
          <w:color w:val="0E1421"/>
          <w:sz w:val="28"/>
          <w:szCs w:val="28"/>
        </w:rPr>
        <w:t xml:space="preserve">4. Module Content</w:t>
      </w:r>
    </w:p>
    <w:p>
      <w:pPr>
        <w:pStyle w:val="Heading3"/>
        <w:spacing w:after="100" w:before="200"/>
      </w:pPr>
      <w:r>
        <w:rPr>
          <w:rFonts w:ascii="Calibri Light" w:cs="Calibri Light" w:eastAsia="Calibri Light" w:hAnsi="Calibri Light"/>
          <w:b/>
          <w:bCs/>
          <w:color w:val="3A4453"/>
          <w:sz w:val="24"/>
          <w:szCs w:val="24"/>
        </w:rPr>
        <w:t xml:space="preserve">4.1 Foundations of HIPAA and the Privacy Rule</w:t>
      </w:r>
    </w:p>
    <w:p>
      <w:pPr>
        <w:spacing w:after="140" w:before="0"/>
      </w:pPr>
      <w:r>
        <w:rPr>
          <w:rFonts w:ascii="Calibri" w:cs="Calibri" w:eastAsia="Calibri" w:hAnsi="Calibri"/>
          <w:b w:val="false"/>
          <w:bCs w:val="false"/>
          <w:i w:val="false"/>
          <w:iCs w:val="false"/>
          <w:color w:val="0E1421"/>
          <w:sz w:val="22"/>
          <w:szCs w:val="22"/>
        </w:rPr>
        <w:t xml:space="preserve">This section describes the statutory framework of HIPAA, the structure of the Privacy Rule (45 CFR Part 164, Subpart E), the distinction between Covered Entities and Business Associates, and the role of the Organization as a Business Associate. The section concludes with the duties imposed on Business Associates by 45 CFR 164.504(e) and the structure of the standard Business Associate Agreement.</w:t>
      </w:r>
    </w:p>
    <w:p>
      <w:pPr>
        <w:pStyle w:val="Heading3"/>
        <w:spacing w:after="100" w:before="200"/>
      </w:pPr>
      <w:r>
        <w:rPr>
          <w:rFonts w:ascii="Calibri Light" w:cs="Calibri Light" w:eastAsia="Calibri Light" w:hAnsi="Calibri Light"/>
          <w:b/>
          <w:bCs/>
          <w:color w:val="3A4453"/>
          <w:sz w:val="24"/>
          <w:szCs w:val="24"/>
        </w:rPr>
        <w:t xml:space="preserve">4.2 Protected Health Information</w:t>
      </w:r>
    </w:p>
    <w:p>
      <w:pPr>
        <w:spacing w:after="140" w:before="0"/>
      </w:pPr>
      <w:r>
        <w:rPr>
          <w:rFonts w:ascii="Calibri" w:cs="Calibri" w:eastAsia="Calibri" w:hAnsi="Calibri"/>
          <w:b w:val="false"/>
          <w:bCs w:val="false"/>
          <w:i w:val="false"/>
          <w:iCs w:val="false"/>
          <w:color w:val="0E1421"/>
          <w:sz w:val="22"/>
          <w:szCs w:val="22"/>
        </w:rPr>
        <w:t xml:space="preserve">This section defines PHI, enumerates the eighteen identifiers listed at 45 CFR 164.514(b)(2), and addresses the distinction between PHI and de-identified information. The section presents examples drawn from the Organization's product context and exercises in which the Authorized User identifies PHI within sample data.</w:t>
      </w:r>
    </w:p>
    <w:p>
      <w:pPr>
        <w:pStyle w:val="Heading3"/>
        <w:spacing w:after="100" w:before="200"/>
      </w:pPr>
      <w:r>
        <w:rPr>
          <w:rFonts w:ascii="Calibri Light" w:cs="Calibri Light" w:eastAsia="Calibri Light" w:hAnsi="Calibri Light"/>
          <w:b/>
          <w:bCs/>
          <w:color w:val="3A4453"/>
          <w:sz w:val="24"/>
          <w:szCs w:val="24"/>
        </w:rPr>
        <w:t xml:space="preserve">4.3 Permitted Uses and Disclosures</w:t>
      </w:r>
    </w:p>
    <w:p>
      <w:pPr>
        <w:spacing w:after="140" w:before="0"/>
      </w:pPr>
      <w:r>
        <w:rPr>
          <w:rFonts w:ascii="Calibri" w:cs="Calibri" w:eastAsia="Calibri" w:hAnsi="Calibri"/>
          <w:b w:val="false"/>
          <w:bCs w:val="false"/>
          <w:i w:val="false"/>
          <w:iCs w:val="false"/>
          <w:color w:val="0E1421"/>
          <w:sz w:val="22"/>
          <w:szCs w:val="22"/>
        </w:rPr>
        <w:t xml:space="preserve">This section presents the categories of uses and disclosures permitted to Business Associates under the Privacy Rule and the Organization's BAAs, including (i) uses and disclosures required to perform the contracted services; (ii) uses and disclosures for management and administration of the Business Associate's own operations consistent with 45 CFR 164.504(e)(2)(i)(A); and (iii) the reporting obligations applicable to security incidents and breaches.</w:t>
      </w:r>
    </w:p>
    <w:p>
      <w:pPr>
        <w:pStyle w:val="Heading3"/>
        <w:spacing w:after="100" w:before="200"/>
      </w:pPr>
      <w:r>
        <w:rPr>
          <w:rFonts w:ascii="Calibri Light" w:cs="Calibri Light" w:eastAsia="Calibri Light" w:hAnsi="Calibri Light"/>
          <w:b/>
          <w:bCs/>
          <w:color w:val="3A4453"/>
          <w:sz w:val="24"/>
          <w:szCs w:val="24"/>
        </w:rPr>
        <w:t xml:space="preserve">4.4 The Minimum Necessary Standard</w:t>
      </w:r>
    </w:p>
    <w:p>
      <w:pPr>
        <w:spacing w:after="140" w:before="0"/>
      </w:pPr>
      <w:r>
        <w:rPr>
          <w:rFonts w:ascii="Calibri" w:cs="Calibri" w:eastAsia="Calibri" w:hAnsi="Calibri"/>
          <w:b w:val="false"/>
          <w:bCs w:val="false"/>
          <w:i w:val="false"/>
          <w:iCs w:val="false"/>
          <w:color w:val="0E1421"/>
          <w:sz w:val="22"/>
          <w:szCs w:val="22"/>
        </w:rPr>
        <w:t xml:space="preserve">This section addresses the minimum-necessary standard at 45 CFR 164.502(b) and its application to routine activities. The section presents the Organization's access-control practices that operationalize the standard, including role-based access controls, just-in-time access grants, and the prohibition on bulk PHI export absent express business justification.</w:t>
      </w:r>
    </w:p>
    <w:p>
      <w:pPr>
        <w:pStyle w:val="Heading3"/>
        <w:spacing w:after="100" w:before="200"/>
      </w:pPr>
      <w:r>
        <w:rPr>
          <w:rFonts w:ascii="Calibri Light" w:cs="Calibri Light" w:eastAsia="Calibri Light" w:hAnsi="Calibri Light"/>
          <w:b/>
          <w:bCs/>
          <w:color w:val="3A4453"/>
          <w:sz w:val="24"/>
          <w:szCs w:val="24"/>
        </w:rPr>
        <w:t xml:space="preserve">4.5 Recognizing and Reporting Incidents</w:t>
      </w:r>
    </w:p>
    <w:p>
      <w:pPr>
        <w:spacing w:after="140" w:before="0"/>
      </w:pPr>
      <w:r>
        <w:rPr>
          <w:rFonts w:ascii="Calibri" w:cs="Calibri" w:eastAsia="Calibri" w:hAnsi="Calibri"/>
          <w:b w:val="false"/>
          <w:bCs w:val="false"/>
          <w:i w:val="false"/>
          <w:iCs w:val="false"/>
          <w:color w:val="0E1421"/>
          <w:sz w:val="22"/>
          <w:szCs w:val="22"/>
        </w:rPr>
        <w:t xml:space="preserve">This section describes the categories of incident that warrant reporting under the Incident Response Plan and the Breach Notification Policy, the channels and timelines for reporting, and the Organization's anti-retaliation commitment under the Whistleblower Policy. The section presents examples drawn from common incident scenarios.</w:t>
      </w:r>
    </w:p>
    <w:p>
      <w:pPr>
        <w:pStyle w:val="Heading2"/>
        <w:spacing w:after="140" w:before="240"/>
      </w:pPr>
      <w:r>
        <w:rPr>
          <w:rFonts w:ascii="Calibri Light" w:cs="Calibri Light" w:eastAsia="Calibri Light" w:hAnsi="Calibri Light"/>
          <w:b/>
          <w:bCs/>
          <w:color w:val="0E1421"/>
          <w:sz w:val="28"/>
          <w:szCs w:val="28"/>
        </w:rPr>
        <w:t xml:space="preserve">5. Knowledge Check Questions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Identify which of the following datasets constitutes Protected Health Information: (a) a patient name with an appointment time; (b) a list of ZIP-3 codes with aggregate utilization data; (c) a workforce member's email address; (d) a list of medical record numbers with diagnosis codes.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Describe two examples of the minimum-necessary standard as applied to a customer success workforce member responding to a customer escalation.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workforce member observes another workforce member exporting a customer-tenant data extract to a personal cloud storage account. Specify the channels and timeframes within which this observation should be reported.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State the Organization's role under HIPAA (Covered Entity or Business Associate) and identify two specific obligations arising from that role.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Distinguish between an "incident" and a "Breach" as those terms are used in the Organization's policies and the Privacy Rule.</w:t>
      </w:r>
    </w:p>
    <w:p>
      <w:pPr>
        <w:pStyle w:val="Heading2"/>
        <w:spacing w:after="140" w:before="240"/>
      </w:pPr>
      <w:r>
        <w:rPr>
          <w:rFonts w:ascii="Calibri Light" w:cs="Calibri Light" w:eastAsia="Calibri Light" w:hAnsi="Calibri Light"/>
          <w:b/>
          <w:bCs/>
          <w:color w:val="0E1421"/>
          <w:sz w:val="28"/>
          <w:szCs w:val="28"/>
        </w:rPr>
        <w:t xml:space="preserve">6. Completion Criteria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shall complete each section of the module in sequence.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shall achieve a score of at least eighty percent (80%) on the Knowledge Check.</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shall acknowledge the Privacy Policy and this module in the learning management system.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Completion shall be recorded in the workforce member's training record and reported to the Office Manager.</w:t>
      </w:r>
    </w:p>
    <w:p>
      <w:pPr>
        <w:pStyle w:val="Heading2"/>
        <w:spacing w:after="140" w:before="240"/>
      </w:pPr>
      <w:r>
        <w:rPr>
          <w:rFonts w:ascii="Calibri Light" w:cs="Calibri Light" w:eastAsia="Calibri Light" w:hAnsi="Calibri Light"/>
          <w:b/>
          <w:bCs/>
          <w:color w:val="0E1421"/>
          <w:sz w:val="28"/>
          <w:szCs w:val="28"/>
        </w:rPr>
        <w:t xml:space="preserve">7. Recertification Cadence</w:t>
      </w:r>
    </w:p>
    <w:p>
      <w:pPr>
        <w:spacing w:after="140" w:before="0"/>
      </w:pPr>
      <w:r>
        <w:rPr>
          <w:rFonts w:ascii="Calibri" w:cs="Calibri" w:eastAsia="Calibri" w:hAnsi="Calibri"/>
          <w:b w:val="false"/>
          <w:bCs w:val="false"/>
          <w:i w:val="false"/>
          <w:iCs w:val="false"/>
          <w:color w:val="0E1421"/>
          <w:sz w:val="22"/>
          <w:szCs w:val="22"/>
        </w:rPr>
        <w:t xml:space="preserve">Authorized Users shall recertify by completing this module at least once every twelve (12) months, computed from the initial completion date. Recertification training shall include any material updates to the Privacy Rule and to the Organization's policies since the prior cycle. Failure to complete recertification within thirty (30) days of the recertification due date shall be escalated to the Authorized User's manager.</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Training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module, schedules reviews, and signs off on annual content updates.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HIPAA Privacy Officer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Subject-matter authority for content; reviews any material change to the Privacy Rule references.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Workforce Member (Learner)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Completes the module within the assigned window; acknowledges completion in the learning system.</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Office Manager / HR Coordinator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Tracks completion; chases overdue completions; reports completion to the Approver quarterly.</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material change to HIPAA Privacy Rule guidance, the Organization's BAA template, or workforce composition.</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HIPAA Privacy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Acceptable Use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Breach Notification Policy</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 xml:space="preserve">HIPAA Privacy Workforce Training</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Privacy Workforce Training</dc:title>
  <dc:creator>Midnight</dc:creator>
  <dc:description>Training Module</dc:description>
  <cp:lastModifiedBy>Un-named</cp:lastModifiedBy>
  <cp:revision>1</cp:revision>
  <dcterms:created xsi:type="dcterms:W3CDTF">2026-05-16T15:38:30.532Z</dcterms:created>
  <dcterms:modified xsi:type="dcterms:W3CDTF">2026-05-16T15:38:30.532Z</dcterms:modified>
</cp:coreProperties>
</file>

<file path=docProps/custom.xml><?xml version="1.0" encoding="utf-8"?>
<Properties xmlns="http://schemas.openxmlformats.org/officeDocument/2006/custom-properties" xmlns:vt="http://schemas.openxmlformats.org/officeDocument/2006/docPropsVTypes"/>
</file>