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spacing w:after="80" w:before="0"/>
        <w:jc w:val="center"/>
      </w:pPr>
      <w:r>
        <w:rPr>
          <w:rFonts w:ascii="Calibri Light" w:cs="Calibri Light" w:eastAsia="Calibri Light" w:hAnsi="Calibri Light"/>
          <w:b/>
          <w:bCs/>
          <w:color w:val="8A93A6"/>
          <w:sz w:val="24"/>
          <w:szCs w:val="24"/>
        </w:rPr>
        <w:t xml:space="preserve">[LOGO: organization_logo.png]</w:t>
      </w:r>
    </w:p>
    <w:p>
      <w:pPr>
        <w:spacing w:after="1200" w:before="0"/>
        <w:jc w:val="center"/>
      </w:pPr>
      <w:r>
        <w:rPr>
          <w:rFonts w:ascii="Calibri" w:cs="Calibri" w:eastAsia="Calibri" w:hAnsi="Calibri"/>
          <w:color w:val="8A93A6"/>
          <w:sz w:val="18"/>
          <w:szCs w:val="18"/>
        </w:rPr>
        <w:t xml:space="preserve">(Reserve 2" x 2" — center)</w:t>
      </w:r>
    </w:p>
    <w:p>
      <w:pPr>
        <w:pBdr>
          <w:bottom w:val="single" w:color="00D4F5" w:sz="24" w:space="1"/>
        </w:pBdr>
        <w:spacing w:after="200" w:before="80"/>
      </w:pPr>
      <w:r>
        <w:t xml:space="preserve"/>
      </w:r>
    </w:p>
    <w:p>
      <w:pPr>
        <w:spacing w:after="100" w:before="0"/>
        <w:jc w:val="center"/>
      </w:pPr>
      <w:r>
        <w:rPr>
          <w:rFonts w:ascii="Calibri Light" w:cs="Calibri Light" w:eastAsia="Calibri Light" w:hAnsi="Calibri Light"/>
          <w:b/>
          <w:bCs/>
          <w:color w:val="0094B0"/>
          <w:spacing w:val="100"/>
          <w:sz w:val="24"/>
          <w:szCs w:val="24"/>
        </w:rPr>
        <w:t xml:space="preserve">AI GOVERNANCE</w:t>
      </w:r>
    </w:p>
    <w:p>
      <w:pPr>
        <w:spacing w:after="200" w:before="0"/>
        <w:jc w:val="center"/>
      </w:pPr>
      <w:r>
        <w:rPr>
          <w:rFonts w:ascii="Calibri Light" w:cs="Calibri Light" w:eastAsia="Calibri Light" w:hAnsi="Calibri Light"/>
          <w:b/>
          <w:bCs/>
          <w:color w:val="0E1421"/>
          <w:sz w:val="56"/>
          <w:szCs w:val="56"/>
        </w:rPr>
        <w:t xml:space="preserve">AI System Governance Framework</w:t>
      </w:r>
    </w:p>
    <w:p>
      <w:pPr>
        <w:spacing w:after="600" w:before="0"/>
        <w:jc w:val="center"/>
      </w:pPr>
      <w:r>
        <w:rPr>
          <w:rFonts w:ascii="Calibri" w:cs="Calibri" w:eastAsia="Calibri" w:hAnsi="Calibri"/>
          <w:color w:val="8A93A6"/>
          <w:sz w:val="18"/>
          <w:szCs w:val="18"/>
        </w:rPr>
        <w:t xml:space="preserve">{{DOCUMENT_TITLE}}</w:t>
      </w:r>
    </w:p>
    <w:p>
      <w:pPr>
        <w:pBdr>
          <w:bottom w:val="single" w:color="00D4F5" w:sz="8" w:space="1"/>
        </w:pBdr>
        <w:spacing w:after="200" w:before="80"/>
      </w:pPr>
      <w:r>
        <w:t xml:space="preserve"/>
      </w:r>
    </w:p>
    <w:tbl>
      <w:tblPr>
        <w:tblW w:type="dxa" w:w="856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760"/>
      </w:tblGrid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Version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{{VERSION}}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Effective Date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{{EFFECTIVE_DATE}}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Owner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{{POLICY_OWNER}}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Approver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{{APPROVER_NAME}}, {{APPROVER_TITLE}}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Classification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{{CLASSIFICATION}}</w:t>
            </w:r>
          </w:p>
        </w:tc>
      </w:tr>
    </w:tbl>
    <w:p>
      <w:pPr>
        <w:spacing w:after="8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spacing w:after="140" w:before="0"/>
        <w:jc w:val="center"/>
      </w:pPr>
      <w:r>
        <w:rPr>
          <w:rFonts w:ascii="Calibri Light" w:cs="Calibri Light" w:eastAsia="Calibri Light" w:hAnsi="Calibri Light"/>
          <w:b/>
          <w:bCs/>
          <w:color w:val="0094B0"/>
          <w:spacing w:val="80"/>
          <w:sz w:val="20"/>
          <w:szCs w:val="20"/>
        </w:rPr>
        <w:t xml:space="preserve">Audit-ready, never compliant.</w:t>
      </w:r>
    </w:p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700"/>
        <w:gridCol w:w="4360"/>
        <w:gridCol w:w="2200"/>
      </w:tblGrid>
      <w:tr>
        <w:trPr>
          <w:tblHeader/>
        </w:trP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Version</w:t>
            </w:r>
          </w:p>
        </w:tc>
        <w:tc>
          <w:tcPr>
            <w:tcW w:type="dxa" w:w="17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Date</w:t>
            </w:r>
          </w:p>
        </w:tc>
        <w:tc>
          <w:tcPr>
            <w:tcW w:type="dxa" w:w="4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Description of Changes</w:t>
            </w:r>
          </w:p>
        </w:tc>
        <w:tc>
          <w:tcPr>
            <w:tcW w:type="dxa" w:w="2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Author</w:t>
            </w:r>
          </w:p>
        </w:tc>
      </w:tr>
      <w:t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1.0</w:t>
            </w:r>
          </w:p>
        </w:tc>
        <w:tc>
          <w:tcPr>
            <w:tcW w:type="dxa" w:w="17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{{EFFECTIVE_DATE}}</w:t>
            </w:r>
          </w:p>
        </w:tc>
        <w:tc>
          <w:tcPr>
            <w:tcW w:type="dxa" w:w="4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Initial issuance.</w:t>
            </w:r>
          </w:p>
        </w:tc>
        <w:tc>
          <w:tcPr>
            <w:tcW w:type="dxa" w:w="2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{{AUTHOR_NAME}}</w:t>
            </w:r>
          </w:p>
        </w:tc>
      </w:tr>
    </w:tbl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Table of Contents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8A93A6"/>
          <w:sz w:val="20"/>
          <w:szCs w:val="20"/>
        </w:rPr>
        <w:t xml:space="preserve">(Right-click and select "Update Field" in Word to populate this table.)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AI Governance Framework — At a Glance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Scope: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Every AI system we build, integrate, procure, or use. In-house, vendor SaaS, and agentic.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What it does: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Inventory + use-case approval + risk classification (EU AI Act-aligned) + human oversight + incident handling.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Why it matters: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AI governance is the fastest-evolving regulatory area we touch. Documentation is the moat.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Owner: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{{POLICY_OWNER}} | Reviewed annually + on each new use case | Next review: {{NEXT_REVIEW_DATE}}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Tier 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000"/>
        <w:gridCol w:w="2260"/>
      </w:tblGrid>
      <w:tr>
        <w:trPr>
          <w:tblHeader/>
        </w:trP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Tier</w:t>
            </w:r>
          </w:p>
        </w:tc>
        <w:tc>
          <w:tcPr>
            <w:tcW w:type="dxa" w:w="60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Use Case</w:t>
            </w:r>
          </w:p>
        </w:tc>
        <w:tc>
          <w:tcPr>
            <w:tcW w:type="dxa" w:w="22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Approval</w:t>
            </w:r>
          </w:p>
        </w:tc>
      </w:tr>
      <w:t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1</w:t>
            </w:r>
          </w:p>
        </w:tc>
        <w:tc>
          <w:tcPr>
            <w:tcW w:type="dxa" w:w="60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Internal productivity, no individual impact.</w:t>
            </w:r>
          </w:p>
        </w:tc>
        <w:tc>
          <w:tcPr>
            <w:tcW w:type="dxa" w:w="22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Policy Owner</w:t>
            </w:r>
          </w:p>
        </w:tc>
      </w:tr>
      <w:t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2</w:t>
            </w:r>
          </w:p>
        </w:tc>
        <w:tc>
          <w:tcPr>
            <w:tcW w:type="dxa" w:w="60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Customer-facing with disclosure obligations.</w:t>
            </w:r>
          </w:p>
        </w:tc>
        <w:tc>
          <w:tcPr>
            <w:tcW w:type="dxa" w:w="22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Policy Owner + Privacy</w:t>
            </w:r>
          </w:p>
        </w:tc>
      </w:tr>
      <w:t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3</w:t>
            </w:r>
          </w:p>
        </w:tc>
        <w:tc>
          <w:tcPr>
            <w:tcW w:type="dxa" w:w="60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High-risk decisions about individuals.</w:t>
            </w:r>
          </w:p>
        </w:tc>
        <w:tc>
          <w:tcPr>
            <w:tcW w:type="dxa" w:w="22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Policy Owner + Privacy + Approver</w:t>
            </w:r>
          </w:p>
        </w:tc>
      </w:tr>
      <w:t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4</w:t>
            </w:r>
          </w:p>
        </w:tc>
        <w:tc>
          <w:tcPr>
            <w:tcW w:type="dxa" w:w="60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Prohibited / restricted by law. Default: no.</w:t>
            </w:r>
          </w:p>
        </w:tc>
        <w:tc>
          <w:tcPr>
            <w:tcW w:type="dxa" w:w="22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Approver + Legal</w:t>
            </w:r>
          </w:p>
        </w:tc>
      </w:tr>
    </w:tbl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Required Documentation Per System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Inventory entry (unique ID, owner, tier, last review).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Use Case Record (problem, population, alternatives, criteria, oversight).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Model Card (intended use, training data, evaluation, failure modes, guardrails, monitoring).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Agent Registry entry if agentic.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Data Rules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No Restricted or Confidential data in unreviewed AI tools. Vendor must contractually ban training on customer data. Training data is cataloged. Models trained on Restricted data ARE Restricted.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Incident Reporting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AI incidents → Incident Response Plan within 4 business hours. Categories: accuracy regression, bias, prompt injection, unintended agent action, privacy/regulatory implication, vendor incident.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Roles and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Role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Responsibilities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AI Governance Owner ({{POLICY_OWNER}})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Maintains the framework, the AI system inventory, and the use-case approval pipeline.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Approver ({{APPROVER_NAME}}, {{APPROVER_TITLE}})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Approves new AI use cases above the lightweight threshold; signs annual review.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Model / Use Case Owner (per system)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Owns documentation, monitoring, and incident response for a specific AI system or use case.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Privacy Officer / Legal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Reviews AI use cases involving personal data, automated decision-making, or high-risk classifications.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AI System Operator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Operates the AI system per documented procedures; escalates incidents through documented channels.</w:t>
            </w:r>
          </w:p>
        </w:tc>
      </w:tr>
    </w:tbl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Review and Maintenance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Next review 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{{NEXT_REVIEW_DATE}}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Review frequency: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Annually, or upon any new AI use case, change in EU AI Act guidance, or material model change.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Review triggers: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 material change in applicable laws, regulations, or contractual obligations.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Findings from an internal or external audit that affect this document.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 security or privacy incident that exposes a gap in the document.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An organizational change (acquisition, divestiture, new business line) that affects scope.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Related Documents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Acceptable Use Policy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Vendor Management Policy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Data Classification Policy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Incident Response Plan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Approval Signatures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This document becomes effective upon execution by both signatories below.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Policy Owner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Approved by: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\sig1\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{{POLICY_OWNER}}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\name1\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{{POLICY_OWNER_TITLE}}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\title1\</w:t>
      </w:r>
    </w:p>
    <w:p>
      <w:pPr>
        <w:spacing w:after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\date1\</w:t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Approver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Approved by: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\sig2\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{{APPROVER_NAME}}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\name2\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{{APPROVER_TITLE}}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\title2\</w:t>
      </w:r>
    </w:p>
    <w:p>
      <w:pPr>
        <w:spacing w:after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\date2\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 Light" w:cs="Calibri Light" w:eastAsia="Calibri Light" w:hAnsi="Calibri Light"/>
        <w:color w:val="0094B0"/>
        <w:spacing w:val="60"/>
        <w:sz w:val="16"/>
        <w:szCs w:val="16"/>
      </w:rPr>
      <w:t xml:space="preserve">Audit-ready, never compliant.</w:t>
    </w:r>
    <w:r>
      <w:t xml:space="preserve">	</w:t>
    </w:r>
    <w:r>
      <w:rPr>
        <w:rFonts w:ascii="Calibri" w:cs="Calibri" w:eastAsia="Calibri" w:hAnsi="Calibri"/>
        <w:color w:val="8A93A6"/>
        <w:sz w:val="16"/>
        <w:szCs w:val="16"/>
      </w:rPr>
      <w:t xml:space="preserve">Page </w:t>
    </w:r>
    <w:r>
      <w:rPr>
        <w:rFonts w:ascii="Calibri" w:cs="Calibri" w:eastAsia="Calibri" w:hAnsi="Calibri"/>
        <w:color w:val="8A93A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A93A6"/>
        <w:sz w:val="16"/>
        <w:szCs w:val="16"/>
      </w:rPr>
      <w:t xml:space="preserve"> of </w:t>
    </w:r>
    <w:r>
      <w:rPr>
        <w:rFonts w:ascii="Calibri" w:cs="Calibri" w:eastAsia="Calibri" w:hAnsi="Calibri"/>
        <w:color w:val="8A93A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D4F5" w:sz="6" w:space="4"/>
      </w:pBdr>
      <w:tabs>
        <w:tab w:val="right" w:pos="10080"/>
      </w:tabs>
    </w:pPr>
    <w:r>
      <w:rPr>
        <w:rFonts w:ascii="Calibri Light" w:cs="Calibri Light" w:eastAsia="Calibri Light" w:hAnsi="Calibri Light"/>
        <w:color w:val="0094B0"/>
        <w:spacing w:val="30"/>
        <w:sz w:val="18"/>
        <w:szCs w:val="18"/>
      </w:rPr>
      <w:t>{{TITLE}}</w:t>
    </w:r>
    <w:r>
      <w:t xml:space="preserve">	</w:t>
    </w:r>
    <w:r>
      <w:rPr>
        <w:rFonts w:ascii="Calibri" w:cs="Calibri" w:eastAsia="Calibri" w:hAnsi="Calibri"/>
        <w:color w:val="8A93A6"/>
        <w:sz w:val="16"/>
        <w:szCs w:val="16"/>
      </w:rPr>
      <w:t xml:space="preserve">{{CLASSIFICATION}}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  <w:lvl w:ilvl="1" w15:tentative="1">
      <w:start w:val="1"/>
      <w:numFmt w:val="bullet"/>
      <w:lvlText w:val="◦"/>
      <w:lvlJc w:val="left"/>
      <w:pPr>
        <w:ind w:left="10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  <w:lvl w:ilvl="1" w15:tentative="1">
      <w:start w:val="1"/>
      <w:numFmt w:val="lowerLetter"/>
      <w:lvlText w:val="%2."/>
      <w:lvlJc w:val="left"/>
      <w:pPr>
        <w:ind w:left="10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E14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Calibri Light" w:cs="Calibri Light" w:eastAsia="Calibri Light" w:hAnsi="Calibri Light"/>
      <w:b/>
      <w:bCs/>
      <w:color w:val="0E1421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Calibri Light" w:cs="Calibri Light" w:eastAsia="Calibri Light" w:hAnsi="Calibri Light"/>
      <w:b/>
      <w:bCs/>
      <w:color w:val="0E1421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 Light" w:cs="Calibri Light" w:eastAsia="Calibri Light" w:hAnsi="Calibri Light"/>
      <w:b/>
      <w:bCs/>
      <w:color w:val="3A4453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System Governance Framework</dc:title>
  <dc:creator>Midnight</dc:creator>
  <dc:description>AI Governance</dc:description>
  <cp:lastModifiedBy>Un-named</cp:lastModifiedBy>
  <cp:revision>1</cp:revision>
  <dcterms:created xsi:type="dcterms:W3CDTF">2026-05-16T15:48:02.965Z</dcterms:created>
  <dcterms:modified xsi:type="dcterms:W3CDTF">2026-05-16T15:48:02.965Z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