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AI GOVERNANCE</w:t>
      </w:r>
    </w:p>
    <w:p>
      <w:pPr>
        <w:spacing w:after="200" w:before="0"/>
        <w:jc w:val="center"/>
      </w:pPr>
      <w:r>
        <w:rPr>
          <w:rFonts w:ascii="Calibri Light" w:cs="Calibri Light" w:eastAsia="Calibri Light" w:hAnsi="Calibri Light"/>
          <w:b/>
          <w:bCs/>
          <w:color w:val="0E1421"/>
          <w:sz w:val="56"/>
          <w:szCs w:val="56"/>
        </w:rPr>
        <w:t xml:space="preserve">AI System Governance Framework</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AI System Inventory</w:t>
      </w:r>
    </w:p>
    <w:p>
      <w:pPr>
        <w:spacing w:after="140" w:before="0"/>
      </w:pPr>
      <w:r>
        <w:rPr>
          <w:rFonts w:ascii="Calibri" w:cs="Calibri" w:eastAsia="Calibri" w:hAnsi="Calibri"/>
          <w:b w:val="false"/>
          <w:bCs w:val="false"/>
          <w:i w:val="false"/>
          <w:iCs w:val="false"/>
          <w:color w:val="0E1421"/>
          <w:sz w:val="22"/>
          <w:szCs w:val="22"/>
        </w:rPr>
        <w:t xml:space="preserve">Every AI system we build, integrate, or use lives in the AI System Inventory. New systems don't go to production without an entry, an assigned owner, and an approved use case.</w:t>
      </w:r>
    </w:p>
    <w:p>
      <w:pPr>
        <w:spacing w:after="140" w:before="0"/>
      </w:pPr>
      <w:r>
        <w:rPr>
          <w:rFonts w:ascii="Calibri" w:cs="Calibri" w:eastAsia="Calibri" w:hAnsi="Calibri"/>
          <w:b w:val="false"/>
          <w:bCs w:val="false"/>
          <w:i w:val="false"/>
          <w:iCs w:val="false"/>
          <w:color w:val="0E1421"/>
          <w:sz w:val="22"/>
          <w:szCs w:val="22"/>
        </w:rPr>
        <w:t xml:space="preserve">The Inventory captures: what the system is, what it does, what data it touches, who owns it, its risk tier, and the date of last review.</w:t>
      </w:r>
    </w:p>
    <w:p>
      <w:pPr>
        <w:pStyle w:val="Heading2"/>
        <w:spacing w:after="140" w:before="240"/>
      </w:pPr>
      <w:r>
        <w:rPr>
          <w:rFonts w:ascii="Calibri Light" w:cs="Calibri Light" w:eastAsia="Calibri Light" w:hAnsi="Calibri Light"/>
          <w:b/>
          <w:bCs/>
          <w:color w:val="0E1421"/>
          <w:sz w:val="28"/>
          <w:szCs w:val="28"/>
        </w:rPr>
        <w:t xml:space="preserve">Use Case Documentation</w:t>
      </w:r>
    </w:p>
    <w:p>
      <w:pPr>
        <w:spacing w:after="140" w:before="0"/>
      </w:pPr>
      <w:r>
        <w:rPr>
          <w:rFonts w:ascii="Calibri" w:cs="Calibri" w:eastAsia="Calibri" w:hAnsi="Calibri"/>
          <w:b w:val="false"/>
          <w:bCs w:val="false"/>
          <w:i w:val="false"/>
          <w:iCs w:val="false"/>
          <w:color w:val="0E1421"/>
          <w:sz w:val="22"/>
          <w:szCs w:val="22"/>
        </w:rPr>
        <w:t xml:space="preserve">Every use case has a Use Case Record. Required fields: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What problem are we solving?</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Who does the AI system affect, and how?</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What non-AI alternatives did we consider, and why this?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Success and failure criteria.</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data flow.</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human-oversight model.</w:t>
      </w:r>
    </w:p>
    <w:p>
      <w:pPr>
        <w:spacing w:after="140" w:before="0"/>
      </w:pPr>
      <w:r>
        <w:rPr>
          <w:rFonts w:ascii="Calibri" w:cs="Calibri" w:eastAsia="Calibri" w:hAnsi="Calibri"/>
          <w:b w:val="false"/>
          <w:bCs w:val="false"/>
          <w:i w:val="false"/>
          <w:iCs w:val="false"/>
          <w:color w:val="0E1421"/>
          <w:sz w:val="22"/>
          <w:szCs w:val="22"/>
        </w:rPr>
        <w:t xml:space="preserve">Signed by the Model Owner, approved by {{POLICY_OWNER}} before development (for in-house) or before procurement (for vendor systems).</w:t>
      </w:r>
    </w:p>
    <w:p>
      <w:pPr>
        <w:pStyle w:val="Heading2"/>
        <w:spacing w:after="140" w:before="240"/>
      </w:pPr>
      <w:r>
        <w:rPr>
          <w:rFonts w:ascii="Calibri Light" w:cs="Calibri Light" w:eastAsia="Calibri Light" w:hAnsi="Calibri Light"/>
          <w:b/>
          <w:bCs/>
          <w:color w:val="0E1421"/>
          <w:sz w:val="28"/>
          <w:szCs w:val="28"/>
        </w:rPr>
        <w:t xml:space="preserve">Risk Classification</w:t>
      </w:r>
    </w:p>
    <w:p>
      <w:pPr>
        <w:spacing w:after="140" w:before="0"/>
      </w:pPr>
      <w:r>
        <w:rPr>
          <w:rFonts w:ascii="Calibri" w:cs="Calibri" w:eastAsia="Calibri" w:hAnsi="Calibri"/>
          <w:b w:val="false"/>
          <w:bCs w:val="false"/>
          <w:i w:val="false"/>
          <w:iCs w:val="false"/>
          <w:color w:val="0E1421"/>
          <w:sz w:val="22"/>
          <w:szCs w:val="22"/>
        </w:rPr>
        <w:t xml:space="preserve">Per the EU AI Act and NIST AI RMF, we sort use cases into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26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Tier</w:t>
            </w:r>
          </w:p>
        </w:tc>
        <w:tc>
          <w:tcPr>
            <w:tcW w:type="dxa" w:w="60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What it is</w:t>
            </w:r>
          </w:p>
        </w:tc>
        <w:tc>
          <w:tcPr>
            <w:tcW w:type="dxa" w:w="22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Who approves</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w:t>
            </w:r>
          </w:p>
        </w:tc>
        <w:tc>
          <w:tcPr>
            <w:tcW w:type="dxa" w:w="6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Internal productivity, no individual impact (summarize-for-me).</w:t>
            </w:r>
          </w:p>
        </w:tc>
        <w:tc>
          <w:tcPr>
            <w:tcW w:type="dxa" w:w="2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 Owner</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w:t>
            </w:r>
          </w:p>
        </w:tc>
        <w:tc>
          <w:tcPr>
            <w:tcW w:type="dxa" w:w="6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Customer-facing assistance with disclosure obligations.</w:t>
            </w:r>
          </w:p>
        </w:tc>
        <w:tc>
          <w:tcPr>
            <w:tcW w:type="dxa" w:w="2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 Owner + Privacy Officer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6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High-risk: real decisions about individuals (eligibility, scoring, clinical).</w:t>
            </w:r>
          </w:p>
        </w:tc>
        <w:tc>
          <w:tcPr>
            <w:tcW w:type="dxa" w:w="2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 Owner + Privacy Officer + Approver</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w:t>
            </w:r>
          </w:p>
        </w:tc>
        <w:tc>
          <w:tcPr>
            <w:tcW w:type="dxa" w:w="6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Prohibited or restricted by law. Default: don't.</w:t>
            </w:r>
          </w:p>
        </w:tc>
        <w:tc>
          <w:tcPr>
            <w:tcW w:type="dxa" w:w="2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 Legal</w:t>
            </w:r>
          </w:p>
        </w:tc>
      </w:tr>
    </w:tbl>
    <w:p>
      <w:pPr>
        <w:pStyle w:val="Heading2"/>
        <w:spacing w:after="140" w:before="240"/>
      </w:pPr>
      <w:r>
        <w:rPr>
          <w:rFonts w:ascii="Calibri Light" w:cs="Calibri Light" w:eastAsia="Calibri Light" w:hAnsi="Calibri Light"/>
          <w:b/>
          <w:bCs/>
          <w:color w:val="0E1421"/>
          <w:sz w:val="28"/>
          <w:szCs w:val="28"/>
        </w:rPr>
        <w:t xml:space="preserve">Data Governance for AI</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Don't paste Restricted or Confidential data into an AI tool that hasn't been vendor-reviewed and that doesn't contractually ban training on it.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Training data for in-house systems gets cataloged: provenance, classification, consent basis.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Personally identifiable training data follows the same retention rules as the source.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Models trained on Restricted data are themselves Restricted artifacts.</w:t>
      </w:r>
    </w:p>
    <w:p>
      <w:pPr>
        <w:pStyle w:val="Heading2"/>
        <w:spacing w:after="140" w:before="240"/>
      </w:pPr>
      <w:r>
        <w:rPr>
          <w:rFonts w:ascii="Calibri Light" w:cs="Calibri Light" w:eastAsia="Calibri Light" w:hAnsi="Calibri Light"/>
          <w:b/>
          <w:bCs/>
          <w:color w:val="0E1421"/>
          <w:sz w:val="28"/>
          <w:szCs w:val="28"/>
        </w:rPr>
        <w:t xml:space="preserve">Model Documentation Requirements</w:t>
      </w:r>
    </w:p>
    <w:p>
      <w:pPr>
        <w:spacing w:after="140" w:before="0"/>
      </w:pPr>
      <w:r>
        <w:rPr>
          <w:rFonts w:ascii="Calibri" w:cs="Calibri" w:eastAsia="Calibri" w:hAnsi="Calibri"/>
          <w:b w:val="false"/>
          <w:bCs w:val="false"/>
          <w:i w:val="false"/>
          <w:iCs w:val="false"/>
          <w:color w:val="0E1421"/>
          <w:sz w:val="22"/>
          <w:szCs w:val="22"/>
        </w:rPr>
        <w:t xml:space="preserve">Every system has a Model Card with: intended use, training data summary, evaluation results, known failure modes, guardrails, monitoring metrics, version history.</w:t>
      </w:r>
    </w:p>
    <w:p>
      <w:pPr>
        <w:pStyle w:val="Heading2"/>
        <w:spacing w:after="140" w:before="240"/>
      </w:pPr>
      <w:r>
        <w:rPr>
          <w:rFonts w:ascii="Calibri Light" w:cs="Calibri Light" w:eastAsia="Calibri Light" w:hAnsi="Calibri Light"/>
          <w:b/>
          <w:bCs/>
          <w:color w:val="0E1421"/>
          <w:sz w:val="28"/>
          <w:szCs w:val="28"/>
        </w:rPr>
        <w:t xml:space="preserve">Human Oversight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Tier 2+: human-in-loop or human-on-loop documented in the Use Case Record.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Agentic AI (takes actions, not just generates): registered, scoped, revocable.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Operators get training on the system's capabilities and limits.</w:t>
      </w:r>
    </w:p>
    <w:p>
      <w:pPr>
        <w:pStyle w:val="Heading2"/>
        <w:spacing w:after="140" w:before="240"/>
      </w:pPr>
      <w:r>
        <w:rPr>
          <w:rFonts w:ascii="Calibri Light" w:cs="Calibri Light" w:eastAsia="Calibri Light" w:hAnsi="Calibri Light"/>
          <w:b/>
          <w:bCs/>
          <w:color w:val="0E1421"/>
          <w:sz w:val="28"/>
          <w:szCs w:val="28"/>
        </w:rPr>
        <w:t xml:space="preserve">Incident and Bias Reporting</w:t>
      </w:r>
    </w:p>
    <w:p>
      <w:pPr>
        <w:spacing w:after="140" w:before="0"/>
      </w:pPr>
      <w:r>
        <w:rPr>
          <w:rFonts w:ascii="Calibri" w:cs="Calibri" w:eastAsia="Calibri" w:hAnsi="Calibri"/>
          <w:b w:val="false"/>
          <w:bCs w:val="false"/>
          <w:i w:val="false"/>
          <w:iCs w:val="false"/>
          <w:color w:val="0E1421"/>
          <w:sz w:val="22"/>
          <w:szCs w:val="22"/>
        </w:rPr>
        <w:t xml:space="preserve">AI incidents — accuracy regressions, observed bias, prompt injection, unintended agent actions, anything with regulatory implications — go through the Incident Response Plan within 4 business hours.</w:t>
      </w:r>
    </w:p>
    <w:p>
      <w:pPr>
        <w:pStyle w:val="Heading2"/>
        <w:spacing w:after="140" w:before="240"/>
      </w:pPr>
      <w:r>
        <w:rPr>
          <w:rFonts w:ascii="Calibri Light" w:cs="Calibri Light" w:eastAsia="Calibri Light" w:hAnsi="Calibri Light"/>
          <w:b/>
          <w:bCs/>
          <w:color w:val="0E1421"/>
          <w:sz w:val="28"/>
          <w:szCs w:val="28"/>
        </w:rPr>
        <w:t xml:space="preserve">Vendor AI Risk Management</w:t>
      </w:r>
    </w:p>
    <w:p>
      <w:pPr>
        <w:spacing w:after="140" w:before="0"/>
      </w:pPr>
      <w:r>
        <w:rPr>
          <w:rFonts w:ascii="Calibri" w:cs="Calibri" w:eastAsia="Calibri" w:hAnsi="Calibri"/>
          <w:b w:val="false"/>
          <w:bCs w:val="false"/>
          <w:i w:val="false"/>
          <w:iCs w:val="false"/>
          <w:color w:val="0E1421"/>
          <w:sz w:val="22"/>
          <w:szCs w:val="22"/>
        </w:rPr>
        <w:t xml:space="preserve">Vendor AI follows the Vendor Management Policy plus: ask about training-data practices; get their model docs; AI-specific incident notification in the contract; re-review on material model or data changes.</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AI Governance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the framework, the AI system inventory, and the use-case approval pipeline.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Approves new AI use cases above the lightweight threshold; signs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Model / Use Case Owner (per system)</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Owns documentation, monitoring, and incident response for a specific AI system or use case.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Privacy Officer / Legal</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Reviews AI use cases involving personal data, automated decision-making, or high-risk classifications.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AI System Operator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Operates the AI system per documented procedures; escalates incidents through documented channels.</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any new AI use case, change in EU AI Act guidance, or material model change.</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Acceptable Use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Vendor Management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Data Classification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Incident Response Plan</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System Governance Framework</dc:title>
  <dc:creator>Midnight</dc:creator>
  <dc:description>AI Governance</dc:description>
  <cp:lastModifiedBy>Un-named</cp:lastModifiedBy>
  <cp:revision>1</cp:revision>
  <dcterms:created xsi:type="dcterms:W3CDTF">2026-05-16T15:48:02.861Z</dcterms:created>
  <dcterms:modified xsi:type="dcterms:W3CDTF">2026-05-16T15:48:02.861Z</dcterms:modified>
</cp:coreProperties>
</file>

<file path=docProps/custom.xml><?xml version="1.0" encoding="utf-8"?>
<Properties xmlns="http://schemas.openxmlformats.org/officeDocument/2006/custom-properties" xmlns:vt="http://schemas.openxmlformats.org/officeDocument/2006/docPropsVTypes"/>
</file>