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AUDIT PACKAGE</w:t>
      </w:r>
    </w:p>
    <w:p>
      <w:pPr>
        <w:spacing w:after="200" w:before="0"/>
        <w:jc w:val="center"/>
      </w:pPr>
      <w:r>
        <w:rPr>
          <w:rFonts w:ascii="Calibri Light" w:cs="Calibri Light" w:eastAsia="Calibri Light" w:hAnsi="Calibri Light"/>
          <w:b/>
          <w:bCs/>
          <w:color w:val="0E1421"/>
          <w:sz w:val="56"/>
          <w:szCs w:val="56"/>
        </w:rPr>
        <w:t xml:space="preserve">SOC 2 Type II Audit Package</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1. Audit Scope and Framework</w:t>
      </w:r>
    </w:p>
    <w:p>
      <w:pPr>
        <w:spacing w:after="140" w:before="0"/>
      </w:pPr>
      <w:r>
        <w:rPr>
          <w:rFonts w:ascii="Calibri" w:cs="Calibri" w:eastAsia="Calibri" w:hAnsi="Calibri"/>
          <w:b w:val="false"/>
          <w:bCs w:val="false"/>
          <w:i w:val="false"/>
          <w:iCs w:val="false"/>
          <w:color w:val="0E1421"/>
          <w:sz w:val="22"/>
          <w:szCs w:val="22"/>
        </w:rPr>
        <w:t xml:space="preserve">This Audit Package supports a SOC 2 Type II engagement covering the period {{AUDIT_PERIOD_START}} through {{AUDIT_PERIOD_END}}. The engagement evaluates the design and operating effectiveness of controls relevant to the Trust Services Criteria ("TSC") selected for the audit. The Organization has selected the Security category as the baseline; additional categories (Availability, Confidentiality, Processing Integrity, Privacy) are included as set forth in the System Description.</w:t>
      </w:r>
    </w:p>
    <w:p>
      <w:pPr>
        <w:spacing w:after="140" w:before="0"/>
      </w:pPr>
      <w:r>
        <w:rPr>
          <w:rFonts w:ascii="Calibri" w:cs="Calibri" w:eastAsia="Calibri" w:hAnsi="Calibri"/>
          <w:b w:val="false"/>
          <w:bCs w:val="false"/>
          <w:i w:val="false"/>
          <w:iCs w:val="false"/>
          <w:color w:val="0E1421"/>
          <w:sz w:val="22"/>
          <w:szCs w:val="22"/>
        </w:rPr>
        <w:t xml:space="preserve">This Package is prepared in good faith based on the Organization's records and is not, in itself, an attestation. The SOC 2 report is the attestation, issued by an independent CPA firm following completion of the engagement.</w:t>
      </w:r>
    </w:p>
    <w:p>
      <w:pPr>
        <w:pStyle w:val="Heading2"/>
        <w:spacing w:after="140" w:before="240"/>
      </w:pPr>
      <w:r>
        <w:rPr>
          <w:rFonts w:ascii="Calibri Light" w:cs="Calibri Light" w:eastAsia="Calibri Light" w:hAnsi="Calibri Light"/>
          <w:b/>
          <w:bCs/>
          <w:color w:val="0E1421"/>
          <w:sz w:val="28"/>
          <w:szCs w:val="28"/>
        </w:rPr>
        <w:t xml:space="preserve">2. Control Inventory</w:t>
      </w:r>
    </w:p>
    <w:p>
      <w:pPr>
        <w:spacing w:after="140" w:before="0"/>
      </w:pPr>
      <w:r>
        <w:rPr>
          <w:rFonts w:ascii="Calibri" w:cs="Calibri" w:eastAsia="Calibri" w:hAnsi="Calibri"/>
          <w:b w:val="false"/>
          <w:bCs w:val="false"/>
          <w:i w:val="false"/>
          <w:iCs w:val="false"/>
          <w:color w:val="0E1421"/>
          <w:sz w:val="22"/>
          <w:szCs w:val="22"/>
        </w:rPr>
        <w:t xml:space="preserve">The following table maps each in-scope Trust Services Criterion to the Organization's implementing control(s) and to the evidence supporting operating effectiveness during the audit period. Detailed control descriptions are maintained in the Control Inventory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3000"/>
        <w:gridCol w:w="226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TSC Ref</w:t>
            </w:r>
          </w:p>
        </w:tc>
        <w:tc>
          <w:tcPr>
            <w:tcW w:type="dxa" w:w="30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Criterion</w:t>
            </w:r>
          </w:p>
        </w:tc>
        <w:tc>
          <w:tcPr>
            <w:tcW w:type="dxa" w:w="30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Control</w:t>
            </w:r>
          </w:p>
        </w:tc>
        <w:tc>
          <w:tcPr>
            <w:tcW w:type="dxa" w:w="22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Evidence Type</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CC1.1</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Demonstrates commitment to integrity and ethics</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Code of Conduct policy with annual acknowledgement</w:t>
            </w:r>
          </w:p>
        </w:tc>
        <w:tc>
          <w:tcPr>
            <w:tcW w:type="dxa" w:w="2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 text + acknowledgement records</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CC2.1</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Communicates information internally</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All-hands updates; policy library publication</w:t>
            </w:r>
          </w:p>
        </w:tc>
        <w:tc>
          <w:tcPr>
            <w:tcW w:type="dxa" w:w="2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Communications log; library access metrics</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CC3.1</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Specifies suitable objectives</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Annual Risk Assessment with documented objectives</w:t>
            </w:r>
          </w:p>
        </w:tc>
        <w:tc>
          <w:tcPr>
            <w:tcW w:type="dxa" w:w="2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Risk Assessment artifact + sign-off</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CC5.1</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Selects and develops control activities</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Information Security Policy and supporting standards</w:t>
            </w:r>
          </w:p>
        </w:tc>
        <w:tc>
          <w:tcPr>
            <w:tcW w:type="dxa" w:w="2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 library + approval records</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CC6.1</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Implements logical access controls</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Identity provider with MFA; role-based access</w:t>
            </w:r>
          </w:p>
        </w:tc>
        <w:tc>
          <w:tcPr>
            <w:tcW w:type="dxa" w:w="2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IDP configuration export; access review records</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CC6.2</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New access is authorized; departing access removed</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Onboarding and Off-Boarding procedures</w:t>
            </w:r>
          </w:p>
        </w:tc>
        <w:tc>
          <w:tcPr>
            <w:tcW w:type="dxa" w:w="2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Access provisioning tickets; off-boarding tracker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CC6.3</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Periodic review of access</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Quarterly access review</w:t>
            </w:r>
          </w:p>
        </w:tc>
        <w:tc>
          <w:tcPr>
            <w:tcW w:type="dxa" w:w="2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Access review records (4 per period)</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CC6.6</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Logical access for external users</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Customer authentication; admin SSO</w:t>
            </w:r>
          </w:p>
        </w:tc>
        <w:tc>
          <w:tcPr>
            <w:tcW w:type="dxa" w:w="2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IDP records; auth logs</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CC7.1</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Vulnerability management</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Vulnerability Management Program</w:t>
            </w:r>
          </w:p>
        </w:tc>
        <w:tc>
          <w:tcPr>
            <w:tcW w:type="dxa" w:w="2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VM register; remediation evidence</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CC7.2</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Monitoring of system components</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Datadog; cloud security posture management</w:t>
            </w:r>
          </w:p>
        </w:tc>
        <w:tc>
          <w:tcPr>
            <w:tcW w:type="dxa" w:w="2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Monitoring configuration; alert records</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CC7.3</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Detection and response to anomalies</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Incident Response Plan and runbooks</w:t>
            </w:r>
          </w:p>
        </w:tc>
        <w:tc>
          <w:tcPr>
            <w:tcW w:type="dxa" w:w="2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Incident register; post-incident reviews</w:t>
            </w:r>
          </w:p>
        </w:tc>
      </w:tr>
      <w:tr>
        <w:tc>
          <w:tcPr>
            <w:tcW w:type="dxa" w:w="11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CC8.1</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Change management</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Change Management Policy</w:t>
            </w:r>
          </w:p>
        </w:tc>
        <w:tc>
          <w:tcPr>
            <w:tcW w:type="dxa" w:w="2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 records; deployment logs; rollback evidence</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CC9.2</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Vendor risk management</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Vendor Management Policy; subprocessor register</w:t>
            </w:r>
          </w:p>
        </w:tc>
        <w:tc>
          <w:tcPr>
            <w:tcW w:type="dxa" w:w="2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Subprocessor reviews; BAA register</w:t>
            </w:r>
          </w:p>
        </w:tc>
      </w:tr>
    </w:tbl>
    <w:p>
      <w:pPr>
        <w:pStyle w:val="Heading2"/>
        <w:spacing w:after="140" w:before="240"/>
      </w:pPr>
      <w:r>
        <w:rPr>
          <w:rFonts w:ascii="Calibri Light" w:cs="Calibri Light" w:eastAsia="Calibri Light" w:hAnsi="Calibri Light"/>
          <w:b/>
          <w:bCs/>
          <w:color w:val="0E1421"/>
          <w:sz w:val="28"/>
          <w:szCs w:val="28"/>
        </w:rPr>
        <w:t xml:space="preserve">3. Evidence Index</w:t>
      </w:r>
    </w:p>
    <w:p>
      <w:pPr>
        <w:spacing w:after="140" w:before="0"/>
      </w:pPr>
      <w:r>
        <w:rPr>
          <w:rFonts w:ascii="Calibri" w:cs="Calibri" w:eastAsia="Calibri" w:hAnsi="Calibri"/>
          <w:b w:val="false"/>
          <w:bCs w:val="false"/>
          <w:i w:val="false"/>
          <w:iCs w:val="false"/>
          <w:color w:val="0E1421"/>
          <w:sz w:val="22"/>
          <w:szCs w:val="22"/>
        </w:rPr>
        <w:t xml:space="preserve">The evidence supporting each control is organized in the Evidence Index, with one entry per evidence artifact. Each entry records: control identifier; evidence description; collection date; collector; storage location; and applicable confidentiality classification. Sampling for testing shall be coordinated with the auditor per the engagement work plan.</w:t>
      </w:r>
    </w:p>
    <w:p>
      <w:pPr>
        <w:pStyle w:val="Heading2"/>
        <w:spacing w:after="140" w:before="240"/>
      </w:pPr>
      <w:r>
        <w:rPr>
          <w:rFonts w:ascii="Calibri Light" w:cs="Calibri Light" w:eastAsia="Calibri Light" w:hAnsi="Calibri Light"/>
          <w:b/>
          <w:bCs/>
          <w:color w:val="0E1421"/>
          <w:sz w:val="28"/>
          <w:szCs w:val="28"/>
        </w:rPr>
        <w:t xml:space="preserve">4. Gap Analysis Summary</w:t>
      </w:r>
    </w:p>
    <w:p>
      <w:pPr>
        <w:spacing w:after="140" w:before="0"/>
      </w:pPr>
      <w:r>
        <w:rPr>
          <w:rFonts w:ascii="Calibri" w:cs="Calibri" w:eastAsia="Calibri" w:hAnsi="Calibri"/>
          <w:b w:val="false"/>
          <w:bCs w:val="false"/>
          <w:i w:val="false"/>
          <w:iCs w:val="false"/>
          <w:color w:val="0E1421"/>
          <w:sz w:val="22"/>
          <w:szCs w:val="22"/>
        </w:rPr>
        <w:t xml:space="preserve">The Information Security function conducted a documented gap analysis against the in-scope Trust Services Criteria in advance of this engagement. The following gaps were identified and are tracked in the Remediation Plan in Section 5:</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CC4.1 (Monitoring activities): The internal-audit function is informal; observations during the audit period were not consistently documented. Remediation: implement quarterly internal control sampling with documented findings.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CC9.2 (Vendor risk management): Three (3) Tier-2 subprocessor reviews are overdue. Remediation: complete reviews before audit fieldwork start.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Stale governance: two (2) policies have next-review dates in the past. Remediation: re-confirm or re-approve before audit fieldwork start.</w:t>
      </w:r>
    </w:p>
    <w:p>
      <w:pPr>
        <w:pStyle w:val="Heading2"/>
        <w:spacing w:after="140" w:before="240"/>
      </w:pPr>
      <w:r>
        <w:rPr>
          <w:rFonts w:ascii="Calibri Light" w:cs="Calibri Light" w:eastAsia="Calibri Light" w:hAnsi="Calibri Light"/>
          <w:b/>
          <w:bCs/>
          <w:color w:val="0E1421"/>
          <w:sz w:val="28"/>
          <w:szCs w:val="28"/>
        </w:rPr>
        <w:t xml:space="preserve">5. Remediation Plan</w:t>
      </w:r>
    </w:p>
    <w:p>
      <w:pPr>
        <w:spacing w:after="140" w:before="0"/>
      </w:pPr>
      <w:r>
        <w:rPr>
          <w:rFonts w:ascii="Calibri" w:cs="Calibri" w:eastAsia="Calibri" w:hAnsi="Calibri"/>
          <w:b w:val="false"/>
          <w:bCs w:val="false"/>
          <w:i w:val="false"/>
          <w:iCs w:val="false"/>
          <w:color w:val="0E1421"/>
          <w:sz w:val="22"/>
          <w:szCs w:val="22"/>
        </w:rPr>
        <w:t xml:space="preserve">The following remediation items are tracked. Each item carries a named owner, a target completion date, and a defined acceptance test. Remediation status as of {{REMEDIATION_STATUS_DATE}}: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1500"/>
        <w:gridCol w:w="1260"/>
      </w:tblGrid>
      <w:tr>
        <w:trPr>
          <w:tblHeader/>
        </w:trPr>
        <w:tc>
          <w:tcPr>
            <w:tcW w:type="dxa" w:w="4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Item</w:t>
            </w:r>
          </w:p>
        </w:tc>
        <w:tc>
          <w:tcPr>
            <w:tcW w:type="dxa" w:w="24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15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Target</w:t>
            </w:r>
          </w:p>
        </w:tc>
        <w:tc>
          <w:tcPr>
            <w:tcW w:type="dxa" w:w="12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Status</w:t>
            </w:r>
          </w:p>
        </w:tc>
      </w:tr>
      <w:tr>
        <w:tc>
          <w:tcPr>
            <w:tcW w:type="dxa" w:w="4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Quarterly internal control sampling</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{{INFO_SEC_LEAD}}</w:t>
            </w:r>
          </w:p>
        </w:tc>
        <w:tc>
          <w:tcPr>
            <w:tcW w:type="dxa" w:w="15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{{TARGET_DATE_1}}</w:t>
            </w:r>
          </w:p>
        </w:tc>
        <w:tc>
          <w:tcPr>
            <w:tcW w:type="dxa" w:w="1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 Progress</w:t>
            </w:r>
          </w:p>
        </w:tc>
      </w:tr>
      <w:tr>
        <w:tc>
          <w:tcPr>
            <w:tcW w:type="dxa" w:w="4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Subprocessor reviews (3)</w:t>
            </w:r>
          </w:p>
        </w:tc>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{{VENDOR_OWNER}}</w:t>
            </w:r>
          </w:p>
        </w:tc>
        <w:tc>
          <w:tcPr>
            <w:tcW w:type="dxa" w:w="15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{{TARGET_DATE_2}}</w:t>
            </w:r>
          </w:p>
        </w:tc>
        <w:tc>
          <w:tcPr>
            <w:tcW w:type="dxa" w:w="12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 Progress</w:t>
            </w:r>
          </w:p>
        </w:tc>
      </w:tr>
      <w:tr>
        <w:tc>
          <w:tcPr>
            <w:tcW w:type="dxa" w:w="4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Stale policy re-confirmation (2)</w:t>
            </w:r>
          </w:p>
        </w:tc>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c>
          <w:tcPr>
            <w:tcW w:type="dxa" w:w="15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{{TARGET_DATE_3}}</w:t>
            </w:r>
          </w:p>
        </w:tc>
        <w:tc>
          <w:tcPr>
            <w:tcW w:type="dxa" w:w="12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Complete</w:t>
            </w:r>
          </w:p>
        </w:tc>
      </w:tr>
    </w:tbl>
    <w:p>
      <w:pPr>
        <w:pStyle w:val="Heading2"/>
        <w:spacing w:after="140" w:before="240"/>
      </w:pPr>
      <w:r>
        <w:rPr>
          <w:rFonts w:ascii="Calibri Light" w:cs="Calibri Light" w:eastAsia="Calibri Light" w:hAnsi="Calibri Light"/>
          <w:b/>
          <w:bCs/>
          <w:color w:val="0E1421"/>
          <w:sz w:val="28"/>
          <w:szCs w:val="28"/>
        </w:rPr>
        <w:t xml:space="preserve">6. Management Assertions</w:t>
      </w:r>
    </w:p>
    <w:p>
      <w:pPr>
        <w:spacing w:after="140" w:before="0"/>
      </w:pPr>
      <w:r>
        <w:rPr>
          <w:rFonts w:ascii="Calibri" w:cs="Calibri" w:eastAsia="Calibri" w:hAnsi="Calibri"/>
          <w:b w:val="false"/>
          <w:bCs w:val="false"/>
          <w:i w:val="false"/>
          <w:iCs w:val="false"/>
          <w:color w:val="0E1421"/>
          <w:sz w:val="22"/>
          <w:szCs w:val="22"/>
        </w:rPr>
        <w:t xml:space="preserve">For the audit period {{AUDIT_PERIOD_START}} through {{AUDIT_PERIOD_END}}, management asserts that: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system description is fairly presented in all material respects.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controls described in the Control Inventory were suitably designed to provide reasonable assurance regarding the selected Trust Services Criteria.</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controls described operated effectively throughout the audit period, except as described in the gap analysis and remediation plan.</w:t>
      </w:r>
    </w:p>
    <w:p>
      <w:pPr>
        <w:spacing w:after="140" w:before="0"/>
      </w:pPr>
      <w:r>
        <w:rPr>
          <w:rFonts w:ascii="Calibri" w:cs="Calibri" w:eastAsia="Calibri" w:hAnsi="Calibri"/>
          <w:b w:val="false"/>
          <w:bCs w:val="false"/>
          <w:i w:val="false"/>
          <w:iCs w:val="false"/>
          <w:color w:val="0E1421"/>
          <w:sz w:val="22"/>
          <w:szCs w:val="22"/>
        </w:rPr>
        <w:t xml:space="preserve">These assertions are made in good faith based on management's knowledge as of the date of signature. The assertions shall be signed by {{APPROVER_NAME}} and {{POLICY_OWNER}}.</w:t>
      </w:r>
    </w:p>
    <w:p>
      <w:pPr>
        <w:pStyle w:val="Heading2"/>
        <w:spacing w:after="140" w:before="240"/>
      </w:pPr>
      <w:r>
        <w:rPr>
          <w:rFonts w:ascii="Calibri Light" w:cs="Calibri Light" w:eastAsia="Calibri Light" w:hAnsi="Calibri Light"/>
          <w:b/>
          <w:bCs/>
          <w:color w:val="0E1421"/>
          <w:sz w:val="28"/>
          <w:szCs w:val="28"/>
        </w:rPr>
        <w:t xml:space="preserve">7. Auditor Q&amp;A Template</w:t>
      </w:r>
    </w:p>
    <w:p>
      <w:pPr>
        <w:spacing w:after="140" w:before="0"/>
      </w:pPr>
      <w:r>
        <w:rPr>
          <w:rFonts w:ascii="Calibri" w:cs="Calibri" w:eastAsia="Calibri" w:hAnsi="Calibri"/>
          <w:b w:val="false"/>
          <w:bCs w:val="false"/>
          <w:i w:val="false"/>
          <w:iCs w:val="false"/>
          <w:color w:val="0E1421"/>
          <w:sz w:val="22"/>
          <w:szCs w:val="22"/>
        </w:rPr>
        <w:t xml:space="preserve">The following template is provided for routing auditor questions through the engagement. The Q&amp;A log is maintained in the auditor portal and is the authoritative record of all material communications.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Question received (date/time, auditor, channel).</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Question categorized (Clarification / Evidence Request / Observation).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Owner assigned (typically the named control owner).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Response drafted (with reference to underlying evidence or control text).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Response reviewed by {{POLICY_OWNER}} (and Legal where the question implicates legal interpretation).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Response delivered through the auditor portal; thread closed only upon auditor acknowledgement.</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Package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Assembles the package, owns the mapping baseline, signs management assertions.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Signs management assertions and the gap-analysis attestation.</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Control Owners (per control)</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 evidence on the requested cadence; sign off on operating effectiveness.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Information Security</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Coordinates evidence collection; verifies completeness; runs gap analysis.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External Auditor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Reviews the package, samples evidence, conducts walkthroughs and tests.</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Compiled per engagement; the framework-mapping baseline reviewed annually.</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Risk Management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Vendor Management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Annual Security Risk Assessment</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{{TITLE}}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2 Type II Audit Package</dc:title>
  <dc:creator>Midnight</dc:creator>
  <dc:description>Audit Package</dc:description>
  <cp:lastModifiedBy>Un-named</cp:lastModifiedBy>
  <cp:revision>1</cp:revision>
  <dcterms:created xsi:type="dcterms:W3CDTF">2026-05-16T15:45:45.324Z</dcterms:created>
  <dcterms:modified xsi:type="dcterms:W3CDTF">2026-05-16T15:45:45.324Z</dcterms:modified>
</cp:coreProperties>
</file>

<file path=docProps/custom.xml><?xml version="1.0" encoding="utf-8"?>
<Properties xmlns="http://schemas.openxmlformats.org/officeDocument/2006/custom-properties" xmlns:vt="http://schemas.openxmlformats.org/officeDocument/2006/docPropsVTypes"/>
</file>