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/>
      </w:r>
    </w:p>
    <w:p>
      <w:pPr>
        <w:spacing w:after="80" w:before="0"/>
        <w:jc w:val="center"/>
      </w:pPr>
      <w:r>
        <w:rPr>
          <w:rFonts w:ascii="Calibri Light" w:cs="Calibri Light" w:eastAsia="Calibri Light" w:hAnsi="Calibri Light"/>
          <w:b/>
          <w:bCs/>
          <w:color w:val="8A93A6"/>
          <w:sz w:val="24"/>
          <w:szCs w:val="24"/>
        </w:rPr>
        <w:t xml:space="preserve">[LOGO: organization_logo.png]</w:t>
      </w:r>
    </w:p>
    <w:p>
      <w:pPr>
        <w:spacing w:after="1200" w:before="0"/>
        <w:jc w:val="center"/>
      </w:pPr>
      <w:r>
        <w:rPr>
          <w:rFonts w:ascii="Calibri" w:cs="Calibri" w:eastAsia="Calibri" w:hAnsi="Calibri"/>
          <w:color w:val="8A93A6"/>
          <w:sz w:val="18"/>
          <w:szCs w:val="18"/>
        </w:rPr>
        <w:t xml:space="preserve">(Reserve 2" x 2" — center)</w:t>
      </w:r>
    </w:p>
    <w:p>
      <w:pPr>
        <w:pBdr>
          <w:bottom w:val="single" w:color="00D4F5" w:sz="24" w:space="1"/>
        </w:pBdr>
        <w:spacing w:after="200" w:before="80"/>
      </w:pPr>
      <w:r>
        <w:t xml:space="preserve"/>
      </w:r>
    </w:p>
    <w:p>
      <w:pPr>
        <w:spacing w:after="100" w:before="0"/>
        <w:jc w:val="center"/>
      </w:pPr>
      <w:r>
        <w:rPr>
          <w:rFonts w:ascii="Calibri Light" w:cs="Calibri Light" w:eastAsia="Calibri Light" w:hAnsi="Calibri Light"/>
          <w:b/>
          <w:bCs/>
          <w:color w:val="0094B0"/>
          <w:spacing w:val="100"/>
          <w:sz w:val="24"/>
          <w:szCs w:val="24"/>
        </w:rPr>
        <w:t xml:space="preserve">RUNBOOK</w:t>
      </w:r>
    </w:p>
    <w:p>
      <w:pPr>
        <w:spacing w:after="200" w:before="0"/>
        <w:jc w:val="center"/>
      </w:pPr>
      <w:r>
        <w:rPr>
          <w:rFonts w:ascii="Calibri Light" w:cs="Calibri Light" w:eastAsia="Calibri Light" w:hAnsi="Calibri Light"/>
          <w:b/>
          <w:bCs/>
          <w:color w:val="0E1421"/>
          <w:sz w:val="56"/>
          <w:szCs w:val="56"/>
        </w:rPr>
        <w:t xml:space="preserve">Suspected PHI Breach Runbook</w:t>
      </w:r>
    </w:p>
    <w:p>
      <w:pPr>
        <w:spacing w:after="600" w:before="0"/>
        <w:jc w:val="center"/>
      </w:pPr>
      <w:r>
        <w:rPr>
          <w:rFonts w:ascii="Calibri" w:cs="Calibri" w:eastAsia="Calibri" w:hAnsi="Calibri"/>
          <w:color w:val="8A93A6"/>
          <w:sz w:val="18"/>
          <w:szCs w:val="18"/>
        </w:rPr>
        <w:t xml:space="preserve">{{DOCUMENT_TITLE}}</w:t>
      </w:r>
    </w:p>
    <w:p>
      <w:pPr>
        <w:pBdr>
          <w:bottom w:val="single" w:color="00D4F5" w:sz="8" w:space="1"/>
        </w:pBdr>
        <w:spacing w:after="200" w:before="80"/>
      </w:pPr>
      <w:r>
        <w:t xml:space="preserve"/>
      </w:r>
    </w:p>
    <w:tbl>
      <w:tblPr>
        <w:tblW w:type="dxa" w:w="856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5760"/>
      </w:tblGrid>
      <w:tr>
        <w:tc>
          <w:tcPr>
            <w:tcW w:type="dxa" w:w="28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E7EA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Version</w:t>
            </w:r>
          </w:p>
        </w:tc>
        <w:tc>
          <w:tcPr>
            <w:tcW w:type="dxa" w:w="57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{{VERSION}}</w:t>
            </w:r>
          </w:p>
        </w:tc>
      </w:tr>
      <w:tr>
        <w:tc>
          <w:tcPr>
            <w:tcW w:type="dxa" w:w="28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E7EA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Effective Date</w:t>
            </w:r>
          </w:p>
        </w:tc>
        <w:tc>
          <w:tcPr>
            <w:tcW w:type="dxa" w:w="57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{{EFFECTIVE_DATE}}</w:t>
            </w:r>
          </w:p>
        </w:tc>
      </w:tr>
      <w:tr>
        <w:tc>
          <w:tcPr>
            <w:tcW w:type="dxa" w:w="28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E7EA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Owner</w:t>
            </w:r>
          </w:p>
        </w:tc>
        <w:tc>
          <w:tcPr>
            <w:tcW w:type="dxa" w:w="57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{{POLICY_OWNER}}</w:t>
            </w:r>
          </w:p>
        </w:tc>
      </w:tr>
      <w:tr>
        <w:tc>
          <w:tcPr>
            <w:tcW w:type="dxa" w:w="28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E7EA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Approver</w:t>
            </w:r>
          </w:p>
        </w:tc>
        <w:tc>
          <w:tcPr>
            <w:tcW w:type="dxa" w:w="57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{{APPROVER_NAME}}, {{APPROVER_TITLE}}</w:t>
            </w:r>
          </w:p>
        </w:tc>
      </w:tr>
      <w:tr>
        <w:tc>
          <w:tcPr>
            <w:tcW w:type="dxa" w:w="28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E7EA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Classification</w:t>
            </w:r>
          </w:p>
        </w:tc>
        <w:tc>
          <w:tcPr>
            <w:tcW w:type="dxa" w:w="57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{{CLASSIFICATION}}</w:t>
            </w:r>
          </w:p>
        </w:tc>
      </w:tr>
    </w:tbl>
    <w:p>
      <w:pPr>
        <w:spacing w:after="8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/>
      </w:r>
    </w:p>
    <w:p>
      <w:pPr>
        <w:spacing w:after="140" w:before="0"/>
        <w:jc w:val="center"/>
      </w:pPr>
      <w:r>
        <w:rPr>
          <w:rFonts w:ascii="Calibri Light" w:cs="Calibri Light" w:eastAsia="Calibri Light" w:hAnsi="Calibri Light"/>
          <w:b/>
          <w:bCs/>
          <w:color w:val="0094B0"/>
          <w:spacing w:val="80"/>
          <w:sz w:val="20"/>
          <w:szCs w:val="20"/>
        </w:rPr>
        <w:t xml:space="preserve">Audit-ready, never compliant.</w:t>
      </w:r>
    </w:p>
    <w:p>
      <w:r>
        <w:br w:type="page"/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700"/>
        <w:gridCol w:w="4360"/>
        <w:gridCol w:w="2200"/>
      </w:tblGrid>
      <w:tr>
        <w:trPr>
          <w:tblHeader/>
        </w:trPr>
        <w:tc>
          <w:tcPr>
            <w:tcW w:type="dxa" w:w="11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Version</w:t>
            </w:r>
          </w:p>
        </w:tc>
        <w:tc>
          <w:tcPr>
            <w:tcW w:type="dxa" w:w="17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Date</w:t>
            </w:r>
          </w:p>
        </w:tc>
        <w:tc>
          <w:tcPr>
            <w:tcW w:type="dxa" w:w="43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Description of Changes</w:t>
            </w:r>
          </w:p>
        </w:tc>
        <w:tc>
          <w:tcPr>
            <w:tcW w:type="dxa" w:w="2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Author</w:t>
            </w:r>
          </w:p>
        </w:tc>
      </w:tr>
      <w:tr>
        <w:tc>
          <w:tcPr>
            <w:tcW w:type="dxa" w:w="11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1.0</w:t>
            </w:r>
          </w:p>
        </w:tc>
        <w:tc>
          <w:tcPr>
            <w:tcW w:type="dxa" w:w="17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{{EFFECTIVE_DATE}}</w:t>
            </w:r>
          </w:p>
        </w:tc>
        <w:tc>
          <w:tcPr>
            <w:tcW w:type="dxa" w:w="43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Initial issuance.</w:t>
            </w:r>
          </w:p>
        </w:tc>
        <w:tc>
          <w:tcPr>
            <w:tcW w:type="dxa" w:w="2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{{AUTHOR_NAME}}</w:t>
            </w:r>
          </w:p>
        </w:tc>
      </w:tr>
    </w:tbl>
    <w:p>
      <w:r>
        <w:br w:type="page"/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Table of Contents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8A93A6"/>
          <w:sz w:val="20"/>
          <w:szCs w:val="20"/>
        </w:rPr>
        <w:t xml:space="preserve">(Right-click and select "Update Field" in Word to populate this table.)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1. Incident Type and Scope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This Runbook applies to any incident in which Protected Health Information ("PHI") under the custody or control of {{ORGANIZATION_NAME}} ("Organization") has, or may have, been used, disclosed, accessed, acquired, modified, or destroyed in a manner not permitted under the HIPAA Privacy Rule, the Organization's Business Associate Agreements, or applicable law. The Runbook applies whether the suspected impermissible event involves a single record or a population of records.</w:t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2. Detection Criteria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The following signals shall trigger initiation of this Runbook: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 workforce report submitted through any approved channel describing facts that may constitute an impermissible use or disclosure of PHI.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 monitoring alert from the Organization's security tooling indicating possible unauthorized access to a system holding PHI, including authentication anomalies, data exfiltration signatures, and anomalous query patterns.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 customer notification alleging that the Organization's actions or omissions resulted in an impermissible use or disclosure.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 subprocessor notification reporting a security incident affecting PHI processed on the Organization's behalf.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Discovery, in the course of routine operations, of a previously unrecognized condition that may constitute an impermissible use or disclosure.</w:t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3. Severity Classification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Upon initiation, the Incident Commander shall classify the incident at one of the following severities, which classification may be adjusted as facts develop.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4400"/>
        <w:gridCol w:w="3560"/>
      </w:tblGrid>
      <w:tr>
        <w:trPr>
          <w:tblHeader/>
        </w:trPr>
        <w:tc>
          <w:tcPr>
            <w:tcW w:type="dxa" w:w="14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Severity</w:t>
            </w:r>
          </w:p>
        </w:tc>
        <w:tc>
          <w:tcPr>
            <w:tcW w:type="dxa" w:w="44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Criteria</w:t>
            </w:r>
          </w:p>
        </w:tc>
        <w:tc>
          <w:tcPr>
            <w:tcW w:type="dxa" w:w="35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Response</w:t>
            </w:r>
          </w:p>
        </w:tc>
      </w:tr>
      <w:tr>
        <w:tc>
          <w:tcPr>
            <w:tcW w:type="dxa" w:w="14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Sev-1</w:t>
            </w:r>
          </w:p>
        </w:tc>
        <w:tc>
          <w:tcPr>
            <w:tcW w:type="dxa" w:w="44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Confirmed unauthorized access to or acquisition of PHI; or public exposure of PHI; or PHI loss affecting 500 or more individuals.</w:t>
            </w:r>
          </w:p>
        </w:tc>
        <w:tc>
          <w:tcPr>
            <w:tcW w:type="dxa" w:w="35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Immediate paging. Outside counsel engaged within 4 hours. Customer notification within 24 hours.</w:t>
            </w:r>
          </w:p>
        </w:tc>
      </w:tr>
      <w:tr>
        <w:tc>
          <w:tcPr>
            <w:tcW w:type="dxa" w:w="14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Sev-2</w:t>
            </w:r>
          </w:p>
        </w:tc>
        <w:tc>
          <w:tcPr>
            <w:tcW w:type="dxa" w:w="44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Reasonable likelihood of impermissible disclosure; or PHI access by individual outside permitted scope; or affecting fewer than 500 individuals.</w:t>
            </w:r>
          </w:p>
        </w:tc>
        <w:tc>
          <w:tcPr>
            <w:tcW w:type="dxa" w:w="35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Engaged within 1 business hour. Outside counsel consultation within 24 hours.</w:t>
            </w:r>
          </w:p>
        </w:tc>
      </w:tr>
      <w:tr>
        <w:tc>
          <w:tcPr>
            <w:tcW w:type="dxa" w:w="14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Sev-3</w:t>
            </w:r>
          </w:p>
        </w:tc>
        <w:tc>
          <w:tcPr>
            <w:tcW w:type="dxa" w:w="44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Possible impermissible disclosure with material uncertainty; or single-record or near-miss event.</w:t>
            </w:r>
          </w:p>
        </w:tc>
        <w:tc>
          <w:tcPr>
            <w:tcW w:type="dxa" w:w="35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Engaged within 4 business hours.</w:t>
            </w:r>
          </w:p>
        </w:tc>
      </w:tr>
      <w:tr>
        <w:tc>
          <w:tcPr>
            <w:tcW w:type="dxa" w:w="14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Sev-4</w:t>
            </w:r>
          </w:p>
        </w:tc>
        <w:tc>
          <w:tcPr>
            <w:tcW w:type="dxa" w:w="44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Confirmed non-event or fully de-identified data; documented for record only.</w:t>
            </w:r>
          </w:p>
        </w:tc>
        <w:tc>
          <w:tcPr>
            <w:tcW w:type="dxa" w:w="35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Documented; no active response required.</w:t>
            </w:r>
          </w:p>
        </w:tc>
      </w:tr>
    </w:tbl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4. Response Steps</w:t>
      </w:r>
    </w:p>
    <w:p>
      <w:pPr>
        <w:pStyle w:val="Heading3"/>
        <w:spacing w:after="100" w:before="200"/>
      </w:pPr>
      <w:r>
        <w:rPr>
          <w:rFonts w:ascii="Calibri Light" w:cs="Calibri Light" w:eastAsia="Calibri Light" w:hAnsi="Calibri Light"/>
          <w:b/>
          <w:bCs/>
          <w:color w:val="3A4453"/>
          <w:sz w:val="24"/>
          <w:szCs w:val="24"/>
        </w:rPr>
        <w:t xml:space="preserve">4.1 T+0 to T+1 Hour — Initiation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The on-call security responder shall acknowledge the alert or report within fifteen (15) minutes during business hours and within one (1) hour after business hours.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The Incident Commander shall be designated. By default this role is held by the Head of Engineering acting as HIPAA Security Officer; an alternate may be designated in writing.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 dedicated incident channel (Slack or equivalent) shall be opened. All material communications during the incident shall occur in this channel.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The Incident Commander shall convene the response team: HIPAA Privacy Officer, Legal, Communications Lead, and the on-call technical responder.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Initial severity classification shall be recorded in the incident ticket.</w:t>
      </w:r>
    </w:p>
    <w:p>
      <w:pPr>
        <w:pStyle w:val="Heading3"/>
        <w:spacing w:after="100" w:before="200"/>
      </w:pPr>
      <w:r>
        <w:rPr>
          <w:rFonts w:ascii="Calibri Light" w:cs="Calibri Light" w:eastAsia="Calibri Light" w:hAnsi="Calibri Light"/>
          <w:b/>
          <w:bCs/>
          <w:color w:val="3A4453"/>
          <w:sz w:val="24"/>
          <w:szCs w:val="24"/>
        </w:rPr>
        <w:t xml:space="preserve">4.2 T+1 to T+4 Hours — Triage and Containment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The technical responder, under direction of the Incident Commander, shall identify the affected systems and the in-scope dataset, taking care to preserve evidence (logs, snapshots, memory captures where applicable).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Immediate containment actions shall be taken to halt any ongoing impermissible activity. Actions may include access revocation, system isolation, credential rotation, and emergency change deployment.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For Sev-1 and Sev-2 incidents, Legal shall engage outside counsel to advise on breach notification timing and content. The engagement shall be documented and the privilege noted on incident communications.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The HIPAA Privacy Officer shall begin the four-factor risk assessment under 45 CFR 164.402(2).</w:t>
      </w:r>
    </w:p>
    <w:p>
      <w:pPr>
        <w:pStyle w:val="Heading3"/>
        <w:spacing w:after="100" w:before="200"/>
      </w:pPr>
      <w:r>
        <w:rPr>
          <w:rFonts w:ascii="Calibri Light" w:cs="Calibri Light" w:eastAsia="Calibri Light" w:hAnsi="Calibri Light"/>
          <w:b/>
          <w:bCs/>
          <w:color w:val="3A4453"/>
          <w:sz w:val="24"/>
          <w:szCs w:val="24"/>
        </w:rPr>
        <w:t xml:space="preserve">4.3 T+4 to T+24 Hours — Investigation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Evidence collection shall continue under chain-of-custody discipline. All evidence shall be hashed and time-stamped upon collection.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The four-factor risk assessment shall progress, with documented evaluation of: (i) the nature and extent of the PHI involved; (ii) the recipient of the impermissible disclosure; (iii) whether the PHI was actually acquired or viewed; and (iv) the extent to which the risk has been mitigated.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 draft customer notification shall be prepared by the Communications Lead with Legal review.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The Incident Commander shall provide an update to the Approver and to the affected customer's primary contact within twenty-four (24) hours of incident declaration.</w:t>
      </w:r>
    </w:p>
    <w:p>
      <w:pPr>
        <w:pStyle w:val="Heading3"/>
        <w:spacing w:after="100" w:before="200"/>
      </w:pPr>
      <w:r>
        <w:rPr>
          <w:rFonts w:ascii="Calibri Light" w:cs="Calibri Light" w:eastAsia="Calibri Light" w:hAnsi="Calibri Light"/>
          <w:b/>
          <w:bCs/>
          <w:color w:val="3A4453"/>
          <w:sz w:val="24"/>
          <w:szCs w:val="24"/>
        </w:rPr>
        <w:t xml:space="preserve">4.4 T+24 Hours and Beyond — Notification and Recovery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For incidents determined by the four-factor risk assessment to constitute a Breach under 45 CFR 164.402, customer notification shall be made within the timeframe specified by the applicable Business Associate Agreement (typically within five business days; some agreements require notification within 24 to 72 hours).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For incidents affecting customer data subject to state-level breach notification statutes, the Communications Lead shall coordinate with Legal on state-specific notification obligations.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Recovery activities (system restoration, credential reissuance, customer support remediation) shall proceed in parallel with notification activities.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The Incident Commander shall close the incident ticket only when all containment, notification, and recovery activities are documented as complete.</w:t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5. Communication Plan</w:t>
      </w:r>
    </w:p>
    <w:p>
      <w:pPr>
        <w:pStyle w:val="Heading3"/>
        <w:spacing w:after="100" w:before="200"/>
      </w:pPr>
      <w:r>
        <w:rPr>
          <w:rFonts w:ascii="Calibri Light" w:cs="Calibri Light" w:eastAsia="Calibri Light" w:hAnsi="Calibri Light"/>
          <w:b/>
          <w:bCs/>
          <w:color w:val="3A4453"/>
          <w:sz w:val="24"/>
          <w:szCs w:val="24"/>
        </w:rPr>
        <w:t xml:space="preserve">5.1 Internal Communications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All material updates shall be posted to the dedicated incident channel by the Incident Commander or a designated scribe. The Approver shall receive a written summary at: (i) one hour after declaration; (ii) twenty-four hours after declaration; (iii) at material changes in scope or severity; and (iv) at closure.</w:t>
      </w:r>
    </w:p>
    <w:p>
      <w:pPr>
        <w:pStyle w:val="Heading3"/>
        <w:spacing w:after="100" w:before="200"/>
      </w:pPr>
      <w:r>
        <w:rPr>
          <w:rFonts w:ascii="Calibri Light" w:cs="Calibri Light" w:eastAsia="Calibri Light" w:hAnsi="Calibri Light"/>
          <w:b/>
          <w:bCs/>
          <w:color w:val="3A4453"/>
          <w:sz w:val="24"/>
          <w:szCs w:val="24"/>
        </w:rPr>
        <w:t xml:space="preserve">5.2 External Communications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All external communications shall be authorized by the CEO and reviewed by Legal before release. The Communications Lead shall maintain the customer-notification log, including the date and time of each notification, the recipient, the channel, and the content (by reference).</w:t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6. Escalation Path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Sev-1 and Sev-2 incidents shall be escalated to the Approver within one (1) hour of declaration.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Any incident involving five hundred (500) or more individuals shall be escalated to the Board of Directors representative within twenty-four (24) hours of identification.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Any incident involving potential regulatory inquiry, governmental investigation, or third-party legal hold shall be escalated to Legal immediately, with outside counsel engaged within four (4) hours of identification.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Any incident involving a subprocessor shall trigger the Subprocessor Incident Procedure, including the right-to-audit provisions of the applicable Business Associate Subcontractor Agreement.</w:t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7. Post-Incident Review Checklist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Within fifteen (15) business days of incident closure, the Incident Commander shall convene a post-incident review meeting and produce a Post-Incident Report covering at minimum: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Incident timeline, including detection, declaration, containment, notification, and closure events with timestamps.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Root cause analysis, distinguishing immediate cause from contributing causes.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Effectiveness review: which controls operated as intended, which did not, which were absent.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Customer impact: number of affected individuals, categories of PHI involved, notifications delivered.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Regulatory and contractual notifications made.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Remediation actions, owners, and target completion dates.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Lessons learned and updates required to this Runbook, the Incident Response Plan, or related policies.</w:t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Roles and Responsibilities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Role</w:t>
            </w:r>
          </w:p>
        </w:tc>
        <w:tc>
          <w:tcPr>
            <w:tcW w:type="dxa" w:w="61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Responsibilities</w:t>
            </w:r>
          </w:p>
        </w:tc>
      </w:tr>
      <w:tr>
        <w:tc>
          <w:tcPr>
            <w:tcW w:type="dxa" w:w="3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Runbook Owner ({{POLICY_OWNER}})</w:t>
            </w:r>
          </w:p>
        </w:tc>
        <w:tc>
          <w:tcPr>
            <w:tcW w:type="dxa" w:w="61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Maintains this Runbook, schedules drills, and incorporates post-incident lessons learned.</w:t>
            </w:r>
          </w:p>
        </w:tc>
      </w:tr>
      <w:tr>
        <w:tc>
          <w:tcPr>
            <w:tcW w:type="dxa" w:w="3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Incident Commander</w:t>
            </w:r>
          </w:p>
        </w:tc>
        <w:tc>
          <w:tcPr>
            <w:tcW w:type="dxa" w:w="61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Single decision-maker during the incident. Coordinates the response and authorizes communications.</w:t>
            </w:r>
          </w:p>
        </w:tc>
      </w:tr>
      <w:tr>
        <w:tc>
          <w:tcPr>
            <w:tcW w:type="dxa" w:w="3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HIPAA Privacy Officer</w:t>
            </w:r>
          </w:p>
        </w:tc>
        <w:tc>
          <w:tcPr>
            <w:tcW w:type="dxa" w:w="61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Engaged for every suspected PHI incident; signs off on the four-factor risk assessment.</w:t>
            </w:r>
          </w:p>
        </w:tc>
      </w:tr>
      <w:tr>
        <w:tc>
          <w:tcPr>
            <w:tcW w:type="dxa" w:w="3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HIPAA Security Officer</w:t>
            </w:r>
          </w:p>
        </w:tc>
        <w:tc>
          <w:tcPr>
            <w:tcW w:type="dxa" w:w="61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Coordinates technical investigation, evidence collection, and containment.</w:t>
            </w:r>
          </w:p>
        </w:tc>
      </w:tr>
      <w:tr>
        <w:tc>
          <w:tcPr>
            <w:tcW w:type="dxa" w:w="3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Legal</w:t>
            </w:r>
          </w:p>
        </w:tc>
        <w:tc>
          <w:tcPr>
            <w:tcW w:type="dxa" w:w="61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Engaged at incident declaration. Manages outside-counsel engagement, regulator communications, and customer-notification language.</w:t>
            </w:r>
          </w:p>
        </w:tc>
      </w:tr>
      <w:tr>
        <w:tc>
          <w:tcPr>
            <w:tcW w:type="dxa" w:w="3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Communications Lead</w:t>
            </w:r>
          </w:p>
        </w:tc>
        <w:tc>
          <w:tcPr>
            <w:tcW w:type="dxa" w:w="61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Drafts internal and external communications. Coordinates with the customer affected by the incident.</w:t>
            </w:r>
          </w:p>
        </w:tc>
      </w:tr>
    </w:tbl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Review and Maintenance</w:t>
      </w:r>
    </w:p>
    <w:p>
      <w:pP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0E1421"/>
          <w:sz w:val="22"/>
          <w:szCs w:val="22"/>
        </w:rPr>
        <w:t xml:space="preserve">Next review date: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{{NEXT_REVIEW_DATE}}</w:t>
      </w:r>
    </w:p>
    <w:p>
      <w:pP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0E1421"/>
          <w:sz w:val="22"/>
          <w:szCs w:val="22"/>
        </w:rPr>
        <w:t xml:space="preserve">Review frequency: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Annually, after each Sev-1 or Sev-2 incident, and upon material change to the Breach Notification Rule.</w:t>
      </w:r>
    </w:p>
    <w:p>
      <w:pP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0E1421"/>
          <w:sz w:val="22"/>
          <w:szCs w:val="22"/>
        </w:rPr>
        <w:t xml:space="preserve">Review triggers: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 material change in applicable laws, regulations, or contractual obligations.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Findings from an internal or external audit that affect this document.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 security or privacy incident that exposes a gap in the document.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An organizational change (acquisition, divestiture, new business line) that affects scope.</w:t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Related Documents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Incident Response Plan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Breach Notification Policy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HIPAA Privacy Policy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HIPAA Security Policy</w:t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Approval Signatures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This document becomes effective upon execution by both signatories below.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/>
      </w:r>
    </w:p>
    <w:p>
      <w:pPr>
        <w:pStyle w:val="Heading3"/>
        <w:spacing w:after="100" w:before="200"/>
      </w:pPr>
      <w:r>
        <w:rPr>
          <w:rFonts w:ascii="Calibri Light" w:cs="Calibri Light" w:eastAsia="Calibri Light" w:hAnsi="Calibri Light"/>
          <w:b/>
          <w:bCs/>
          <w:color w:val="3A4453"/>
          <w:sz w:val="24"/>
          <w:szCs w:val="24"/>
        </w:rPr>
        <w:t xml:space="preserve">Policy Owner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Approved by: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________________________________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2"/>
          <w:szCs w:val="2"/>
        </w:rPr>
        <w:t xml:space="preserve">\sig1\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{{POLICY_OWNER}}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2"/>
          <w:szCs w:val="2"/>
        </w:rPr>
        <w:t xml:space="preserve">\name1\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{{POLICY_OWNER_TITLE}}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2"/>
          <w:szCs w:val="2"/>
        </w:rPr>
        <w:t xml:space="preserve">\title1\</w:t>
      </w:r>
    </w:p>
    <w:p>
      <w:pPr>
        <w:spacing w:after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Date: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____________________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2"/>
          <w:szCs w:val="2"/>
        </w:rPr>
        <w:t xml:space="preserve">\date1\</w:t>
      </w:r>
    </w:p>
    <w:p>
      <w:pPr>
        <w:pStyle w:val="Heading3"/>
        <w:spacing w:after="100" w:before="200"/>
      </w:pPr>
      <w:r>
        <w:rPr>
          <w:rFonts w:ascii="Calibri Light" w:cs="Calibri Light" w:eastAsia="Calibri Light" w:hAnsi="Calibri Light"/>
          <w:b/>
          <w:bCs/>
          <w:color w:val="3A4453"/>
          <w:sz w:val="24"/>
          <w:szCs w:val="24"/>
        </w:rPr>
        <w:t xml:space="preserve">Approver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Approved by: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________________________________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2"/>
          <w:szCs w:val="2"/>
        </w:rPr>
        <w:t xml:space="preserve">\sig2\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{{APPROVER_NAME}}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2"/>
          <w:szCs w:val="2"/>
        </w:rPr>
        <w:t xml:space="preserve">\name2\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{{APPROVER_TITLE}}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2"/>
          <w:szCs w:val="2"/>
        </w:rPr>
        <w:t xml:space="preserve">\title2\</w:t>
      </w:r>
    </w:p>
    <w:p>
      <w:pPr>
        <w:spacing w:after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Date: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____________________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2"/>
          <w:szCs w:val="2"/>
        </w:rPr>
        <w:t xml:space="preserve">\date2\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80"/>
      </w:tabs>
    </w:pPr>
    <w:r>
      <w:rPr>
        <w:rFonts w:ascii="Calibri Light" w:cs="Calibri Light" w:eastAsia="Calibri Light" w:hAnsi="Calibri Light"/>
        <w:color w:val="0094B0"/>
        <w:spacing w:val="60"/>
        <w:sz w:val="16"/>
        <w:szCs w:val="16"/>
      </w:rPr>
      <w:t xml:space="preserve">Audit-ready, never compliant.</w:t>
    </w:r>
    <w:r>
      <w:t xml:space="preserve">	</w:t>
    </w:r>
    <w:r>
      <w:rPr>
        <w:rFonts w:ascii="Calibri" w:cs="Calibri" w:eastAsia="Calibri" w:hAnsi="Calibri"/>
        <w:color w:val="8A93A6"/>
        <w:sz w:val="16"/>
        <w:szCs w:val="16"/>
      </w:rPr>
      <w:t xml:space="preserve">Page </w:t>
    </w:r>
    <w:r>
      <w:rPr>
        <w:rFonts w:ascii="Calibri" w:cs="Calibri" w:eastAsia="Calibri" w:hAnsi="Calibri"/>
        <w:color w:val="8A93A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8A93A6"/>
        <w:sz w:val="16"/>
        <w:szCs w:val="16"/>
      </w:rPr>
      <w:t xml:space="preserve"> of </w:t>
    </w:r>
    <w:r>
      <w:rPr>
        <w:rFonts w:ascii="Calibri" w:cs="Calibri" w:eastAsia="Calibri" w:hAnsi="Calibri"/>
        <w:color w:val="8A93A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D4F5" w:sz="6" w:space="4"/>
      </w:pBdr>
      <w:tabs>
        <w:tab w:val="right" w:pos="10080"/>
      </w:tabs>
    </w:pPr>
    <w:r>
      <w:rPr>
        <w:rFonts w:ascii="Calibri Light" w:cs="Calibri Light" w:eastAsia="Calibri Light" w:hAnsi="Calibri Light"/>
        <w:color w:val="0094B0"/>
        <w:spacing w:val="30"/>
        <w:sz w:val="18"/>
        <w:szCs w:val="18"/>
      </w:rPr>
      <w:t>{{TITLE}}</w:t>
    </w:r>
    <w:r>
      <w:t xml:space="preserve">	</w:t>
    </w:r>
    <w:r>
      <w:rPr>
        <w:rFonts w:ascii="Calibri" w:cs="Calibri" w:eastAsia="Calibri" w:hAnsi="Calibri"/>
        <w:color w:val="8A93A6"/>
        <w:sz w:val="16"/>
        <w:szCs w:val="16"/>
      </w:rPr>
      <w:t xml:space="preserve">{{CLASSIFICATION}}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  <w:lvl w:ilvl="1" w15:tentative="1">
      <w:start w:val="1"/>
      <w:numFmt w:val="bullet"/>
      <w:lvlText w:val="◦"/>
      <w:lvlJc w:val="left"/>
      <w:pPr>
        <w:ind w:left="108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  <w:lvl w:ilvl="1" w15:tentative="1">
      <w:start w:val="1"/>
      <w:numFmt w:val="lowerLetter"/>
      <w:lvlText w:val="%2."/>
      <w:lvlJc w:val="left"/>
      <w:pPr>
        <w:ind w:left="108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E1421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20"/>
      <w:outlineLvl w:val="0"/>
    </w:pPr>
    <w:rPr>
      <w:rFonts w:ascii="Calibri Light" w:cs="Calibri Light" w:eastAsia="Calibri Light" w:hAnsi="Calibri Light"/>
      <w:b/>
      <w:bCs/>
      <w:color w:val="0E1421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40" w:before="240"/>
      <w:outlineLvl w:val="1"/>
    </w:pPr>
    <w:rPr>
      <w:rFonts w:ascii="Calibri Light" w:cs="Calibri Light" w:eastAsia="Calibri Light" w:hAnsi="Calibri Light"/>
      <w:b/>
      <w:bCs/>
      <w:color w:val="0E1421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 Light" w:cs="Calibri Light" w:eastAsia="Calibri Light" w:hAnsi="Calibri Light"/>
      <w:b/>
      <w:bCs/>
      <w:color w:val="3A4453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Suspected PHI Breach Runbook</dc:title>
  <dc:creator>Midnight</dc:creator>
  <dc:description>Runbook</dc:description>
  <cp:lastModifiedBy>Un-named</cp:lastModifiedBy>
  <cp:revision>1</cp:revision>
  <dcterms:created xsi:type="dcterms:W3CDTF">2026-05-16T15:41:08.626Z</dcterms:created>
  <dcterms:modified xsi:type="dcterms:W3CDTF">2026-05-16T15:41:08.626Z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