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/>
      </w:r>
    </w:p>
    <w:p>
      <w:pPr>
        <w:spacing w:after="80" w:before="0"/>
        <w:jc w:val="center"/>
      </w:pPr>
      <w:r>
        <w:rPr>
          <w:rFonts w:ascii="Calibri Light" w:cs="Calibri Light" w:eastAsia="Calibri Light" w:hAnsi="Calibri Light"/>
          <w:b/>
          <w:bCs/>
          <w:color w:val="8A93A6"/>
          <w:sz w:val="24"/>
          <w:szCs w:val="24"/>
        </w:rPr>
        <w:t xml:space="preserve">[LOGO: organization_logo.png]</w:t>
      </w:r>
    </w:p>
    <w:p>
      <w:pPr>
        <w:spacing w:after="1200" w:before="0"/>
        <w:jc w:val="center"/>
      </w:pPr>
      <w:r>
        <w:rPr>
          <w:rFonts w:ascii="Calibri" w:cs="Calibri" w:eastAsia="Calibri" w:hAnsi="Calibri"/>
          <w:color w:val="8A93A6"/>
          <w:sz w:val="18"/>
          <w:szCs w:val="18"/>
        </w:rPr>
        <w:t xml:space="preserve">(Reserve 2" x 2" — center)</w:t>
      </w:r>
    </w:p>
    <w:p>
      <w:pPr>
        <w:pBdr>
          <w:bottom w:val="single" w:color="00D4F5" w:sz="24" w:space="1"/>
        </w:pBdr>
        <w:spacing w:after="200" w:before="80"/>
      </w:pPr>
      <w:r>
        <w:t xml:space="preserve"/>
      </w:r>
    </w:p>
    <w:p>
      <w:pPr>
        <w:spacing w:after="100" w:before="0"/>
        <w:jc w:val="center"/>
      </w:pPr>
      <w:r>
        <w:rPr>
          <w:rFonts w:ascii="Calibri Light" w:cs="Calibri Light" w:eastAsia="Calibri Light" w:hAnsi="Calibri Light"/>
          <w:b/>
          <w:bCs/>
          <w:color w:val="0094B0"/>
          <w:spacing w:val="100"/>
          <w:sz w:val="24"/>
          <w:szCs w:val="24"/>
        </w:rPr>
        <w:t xml:space="preserve">RUNBOOK</w:t>
      </w:r>
    </w:p>
    <w:p>
      <w:pPr>
        <w:spacing w:after="200" w:before="0"/>
        <w:jc w:val="center"/>
      </w:pPr>
      <w:r>
        <w:rPr>
          <w:rFonts w:ascii="Calibri Light" w:cs="Calibri Light" w:eastAsia="Calibri Light" w:hAnsi="Calibri Light"/>
          <w:b/>
          <w:bCs/>
          <w:color w:val="0E1421"/>
          <w:sz w:val="56"/>
          <w:szCs w:val="56"/>
        </w:rPr>
        <w:t xml:space="preserve">Suspected PHI Breach Runbook</w:t>
      </w:r>
    </w:p>
    <w:p>
      <w:pPr>
        <w:spacing w:after="600" w:before="0"/>
        <w:jc w:val="center"/>
      </w:pPr>
      <w:r>
        <w:rPr>
          <w:rFonts w:ascii="Calibri" w:cs="Calibri" w:eastAsia="Calibri" w:hAnsi="Calibri"/>
          <w:color w:val="8A93A6"/>
          <w:sz w:val="18"/>
          <w:szCs w:val="18"/>
        </w:rPr>
        <w:t xml:space="preserve">{{DOCUMENT_TITLE}}</w:t>
      </w:r>
    </w:p>
    <w:p>
      <w:pPr>
        <w:pBdr>
          <w:bottom w:val="single" w:color="00D4F5" w:sz="8" w:space="1"/>
        </w:pBdr>
        <w:spacing w:after="200" w:before="80"/>
      </w:pPr>
      <w:r>
        <w:t xml:space="preserve"/>
      </w:r>
    </w:p>
    <w:tbl>
      <w:tblPr>
        <w:tblW w:type="dxa" w:w="856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5760"/>
      </w:tblGrid>
      <w:tr>
        <w:tc>
          <w:tcPr>
            <w:tcW w:type="dxa" w:w="280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shd w:fill="E7EAF0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E1421"/>
                <w:sz w:val="22"/>
                <w:szCs w:val="22"/>
              </w:rPr>
              <w:t xml:space="preserve">Version</w:t>
            </w:r>
          </w:p>
        </w:tc>
        <w:tc>
          <w:tcPr>
            <w:tcW w:type="dxa" w:w="576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{{VERSION}}</w:t>
            </w:r>
          </w:p>
        </w:tc>
      </w:tr>
      <w:tr>
        <w:tc>
          <w:tcPr>
            <w:tcW w:type="dxa" w:w="280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shd w:fill="E7EAF0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E1421"/>
                <w:sz w:val="22"/>
                <w:szCs w:val="22"/>
              </w:rPr>
              <w:t xml:space="preserve">Effective Date</w:t>
            </w:r>
          </w:p>
        </w:tc>
        <w:tc>
          <w:tcPr>
            <w:tcW w:type="dxa" w:w="576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{{EFFECTIVE_DATE}}</w:t>
            </w:r>
          </w:p>
        </w:tc>
      </w:tr>
      <w:tr>
        <w:tc>
          <w:tcPr>
            <w:tcW w:type="dxa" w:w="280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shd w:fill="E7EAF0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E1421"/>
                <w:sz w:val="22"/>
                <w:szCs w:val="22"/>
              </w:rPr>
              <w:t xml:space="preserve">Owner</w:t>
            </w:r>
          </w:p>
        </w:tc>
        <w:tc>
          <w:tcPr>
            <w:tcW w:type="dxa" w:w="576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{{POLICY_OWNER}}</w:t>
            </w:r>
          </w:p>
        </w:tc>
      </w:tr>
      <w:tr>
        <w:tc>
          <w:tcPr>
            <w:tcW w:type="dxa" w:w="280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shd w:fill="E7EAF0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E1421"/>
                <w:sz w:val="22"/>
                <w:szCs w:val="22"/>
              </w:rPr>
              <w:t xml:space="preserve">Approver</w:t>
            </w:r>
          </w:p>
        </w:tc>
        <w:tc>
          <w:tcPr>
            <w:tcW w:type="dxa" w:w="576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{{APPROVER_NAME}}, {{APPROVER_TITLE}}</w:t>
            </w:r>
          </w:p>
        </w:tc>
      </w:tr>
      <w:tr>
        <w:tc>
          <w:tcPr>
            <w:tcW w:type="dxa" w:w="280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shd w:fill="E7EAF0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E1421"/>
                <w:sz w:val="22"/>
                <w:szCs w:val="22"/>
              </w:rPr>
              <w:t xml:space="preserve">Classification</w:t>
            </w:r>
          </w:p>
        </w:tc>
        <w:tc>
          <w:tcPr>
            <w:tcW w:type="dxa" w:w="576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{{CLASSIFICATION}}</w:t>
            </w:r>
          </w:p>
        </w:tc>
      </w:tr>
    </w:tbl>
    <w:p>
      <w:pPr>
        <w:spacing w:after="8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/>
      </w:r>
    </w:p>
    <w:p>
      <w:pPr>
        <w:spacing w:after="140" w:before="0"/>
        <w:jc w:val="center"/>
      </w:pPr>
      <w:r>
        <w:rPr>
          <w:rFonts w:ascii="Calibri Light" w:cs="Calibri Light" w:eastAsia="Calibri Light" w:hAnsi="Calibri Light"/>
          <w:b/>
          <w:bCs/>
          <w:color w:val="0094B0"/>
          <w:spacing w:val="80"/>
          <w:sz w:val="20"/>
          <w:szCs w:val="20"/>
        </w:rPr>
        <w:t xml:space="preserve">Audit-ready, never compliant.</w:t>
      </w:r>
    </w:p>
    <w:p>
      <w:r>
        <w:br w:type="page"/>
      </w:r>
    </w:p>
    <w:p>
      <w:pPr>
        <w:pStyle w:val="Heading2"/>
        <w:spacing w:after="140" w:before="240"/>
      </w:pPr>
      <w:r>
        <w:rPr>
          <w:rFonts w:ascii="Calibri Light" w:cs="Calibri Light" w:eastAsia="Calibri Light" w:hAnsi="Calibri Light"/>
          <w:b/>
          <w:bCs/>
          <w:color w:val="0E1421"/>
          <w:sz w:val="28"/>
          <w:szCs w:val="28"/>
        </w:rPr>
        <w:t xml:space="preserve">Document Control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1700"/>
        <w:gridCol w:w="4360"/>
        <w:gridCol w:w="2200"/>
      </w:tblGrid>
      <w:tr>
        <w:trPr>
          <w:tblHeader/>
        </w:trPr>
        <w:tc>
          <w:tcPr>
            <w:tcW w:type="dxa" w:w="110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shd w:fill="00D4F5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E1421"/>
                <w:sz w:val="22"/>
                <w:szCs w:val="22"/>
              </w:rPr>
              <w:t xml:space="preserve">Version</w:t>
            </w:r>
          </w:p>
        </w:tc>
        <w:tc>
          <w:tcPr>
            <w:tcW w:type="dxa" w:w="170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shd w:fill="00D4F5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E1421"/>
                <w:sz w:val="22"/>
                <w:szCs w:val="22"/>
              </w:rPr>
              <w:t xml:space="preserve">Date</w:t>
            </w:r>
          </w:p>
        </w:tc>
        <w:tc>
          <w:tcPr>
            <w:tcW w:type="dxa" w:w="436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shd w:fill="00D4F5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E1421"/>
                <w:sz w:val="22"/>
                <w:szCs w:val="22"/>
              </w:rPr>
              <w:t xml:space="preserve">Description of Changes</w:t>
            </w:r>
          </w:p>
        </w:tc>
        <w:tc>
          <w:tcPr>
            <w:tcW w:type="dxa" w:w="220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shd w:fill="00D4F5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E1421"/>
                <w:sz w:val="22"/>
                <w:szCs w:val="22"/>
              </w:rPr>
              <w:t xml:space="preserve">Author</w:t>
            </w:r>
          </w:p>
        </w:tc>
      </w:tr>
      <w:tr>
        <w:tc>
          <w:tcPr>
            <w:tcW w:type="dxa" w:w="110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1.0</w:t>
            </w:r>
          </w:p>
        </w:tc>
        <w:tc>
          <w:tcPr>
            <w:tcW w:type="dxa" w:w="170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{{EFFECTIVE_DATE}}</w:t>
            </w:r>
          </w:p>
        </w:tc>
        <w:tc>
          <w:tcPr>
            <w:tcW w:type="dxa" w:w="436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Initial issuance.</w:t>
            </w:r>
          </w:p>
        </w:tc>
        <w:tc>
          <w:tcPr>
            <w:tcW w:type="dxa" w:w="220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{{AUTHOR_NAME}}</w:t>
            </w:r>
          </w:p>
        </w:tc>
      </w:tr>
    </w:tbl>
    <w:p>
      <w:r>
        <w:br w:type="page"/>
      </w:r>
    </w:p>
    <w:p>
      <w:pPr>
        <w:pStyle w:val="Heading2"/>
        <w:spacing w:after="140" w:before="240"/>
      </w:pPr>
      <w:r>
        <w:rPr>
          <w:rFonts w:ascii="Calibri Light" w:cs="Calibri Light" w:eastAsia="Calibri Light" w:hAnsi="Calibri Light"/>
          <w:b/>
          <w:bCs/>
          <w:color w:val="0E1421"/>
          <w:sz w:val="28"/>
          <w:szCs w:val="28"/>
        </w:rPr>
        <w:t xml:space="preserve">Table of Contents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8A93A6"/>
          <w:sz w:val="20"/>
          <w:szCs w:val="20"/>
        </w:rPr>
        <w:t xml:space="preserve">(Right-click and select "Update Field" in Word to populate this table.)</w:t>
      </w:r>
    </w:p>
    <w:sdt>
      <w:sdtPr>
        <w:alias w:val="Table of Contents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2"/>
        <w:spacing w:after="140" w:before="240"/>
      </w:pPr>
      <w:r>
        <w:rPr>
          <w:rFonts w:ascii="Calibri Light" w:cs="Calibri Light" w:eastAsia="Calibri Light" w:hAnsi="Calibri Light"/>
          <w:b/>
          <w:bCs/>
          <w:color w:val="0E1421"/>
          <w:sz w:val="28"/>
          <w:szCs w:val="28"/>
        </w:rPr>
        <w:t xml:space="preserve">Incident Type and Scope</w:t>
      </w:r>
    </w:p>
    <w:p>
      <w:pPr>
        <w:spacing w:after="14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You think PHI got accessed, disclosed, or copied in a way it shouldn't have. This is the runbook for that, one or one million records. Same procedure either way.</w:t>
      </w:r>
    </w:p>
    <w:p>
      <w:pPr>
        <w:pStyle w:val="Heading2"/>
        <w:spacing w:after="140" w:before="240"/>
      </w:pPr>
      <w:r>
        <w:rPr>
          <w:rFonts w:ascii="Calibri Light" w:cs="Calibri Light" w:eastAsia="Calibri Light" w:hAnsi="Calibri Light"/>
          <w:b/>
          <w:bCs/>
          <w:color w:val="0E1421"/>
          <w:sz w:val="28"/>
          <w:szCs w:val="28"/>
        </w:rPr>
        <w:t xml:space="preserve">Detection Criteria</w:t>
      </w:r>
    </w:p>
    <w:p>
      <w:pPr>
        <w:spacing w:after="14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Start the runbook if: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Someone on the workforce reports something that smells off.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Security tooling alerts on weird access patterns near PHI systems.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A customer tells you there's a problem.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A subprocessor reports an incident affecting our customer data.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You stumble across something during normal work (misconfigured bucket, log of leaked access, etc.).</w:t>
      </w:r>
    </w:p>
    <w:p>
      <w:pPr>
        <w:pStyle w:val="Heading2"/>
        <w:spacing w:after="140" w:before="240"/>
      </w:pPr>
      <w:r>
        <w:rPr>
          <w:rFonts w:ascii="Calibri Light" w:cs="Calibri Light" w:eastAsia="Calibri Light" w:hAnsi="Calibri Light"/>
          <w:b/>
          <w:bCs/>
          <w:color w:val="0E1421"/>
          <w:sz w:val="28"/>
          <w:szCs w:val="28"/>
        </w:rPr>
        <w:t xml:space="preserve">Severity Classification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5000"/>
        <w:gridCol w:w="2860"/>
      </w:tblGrid>
      <w:tr>
        <w:trPr>
          <w:tblHeader/>
        </w:trPr>
        <w:tc>
          <w:tcPr>
            <w:tcW w:type="dxa" w:w="150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shd w:fill="00D4F5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E1421"/>
                <w:sz w:val="22"/>
                <w:szCs w:val="22"/>
              </w:rPr>
              <w:t xml:space="preserve">Severity</w:t>
            </w:r>
          </w:p>
        </w:tc>
        <w:tc>
          <w:tcPr>
            <w:tcW w:type="dxa" w:w="500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shd w:fill="00D4F5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E1421"/>
                <w:sz w:val="22"/>
                <w:szCs w:val="22"/>
              </w:rPr>
              <w:t xml:space="preserve">Looks Like</w:t>
            </w:r>
          </w:p>
        </w:tc>
        <w:tc>
          <w:tcPr>
            <w:tcW w:type="dxa" w:w="286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shd w:fill="00D4F5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E1421"/>
                <w:sz w:val="22"/>
                <w:szCs w:val="22"/>
              </w:rPr>
              <w:t xml:space="preserve">Speed</w:t>
            </w:r>
          </w:p>
        </w:tc>
      </w:tr>
      <w:tr>
        <w:tc>
          <w:tcPr>
            <w:tcW w:type="dxa" w:w="150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Sev-1</w:t>
            </w:r>
          </w:p>
        </w:tc>
        <w:tc>
          <w:tcPr>
            <w:tcW w:type="dxa" w:w="500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Confirmed unauthorized PHI access, public exposure, or 500+ affected.</w:t>
            </w:r>
          </w:p>
        </w:tc>
        <w:tc>
          <w:tcPr>
            <w:tcW w:type="dxa" w:w="286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Page immediately. Outside counsel &lt; 4 hrs. Customer notify &lt; 24 hrs.</w:t>
            </w:r>
          </w:p>
        </w:tc>
      </w:tr>
      <w:tr>
        <w:tc>
          <w:tcPr>
            <w:tcW w:type="dxa" w:w="150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shd w:fill="F4F7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Sev-2</w:t>
            </w:r>
          </w:p>
        </w:tc>
        <w:tc>
          <w:tcPr>
            <w:tcW w:type="dxa" w:w="500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shd w:fill="F4F7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Likely impermissible disclosure or PHI access outside permitted scope; fewer than 500.</w:t>
            </w:r>
          </w:p>
        </w:tc>
        <w:tc>
          <w:tcPr>
            <w:tcW w:type="dxa" w:w="286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shd w:fill="F4F7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Engage within 1 business hour. Counsel consult &lt; 24 hrs.</w:t>
            </w:r>
          </w:p>
        </w:tc>
      </w:tr>
      <w:tr>
        <w:tc>
          <w:tcPr>
            <w:tcW w:type="dxa" w:w="150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Sev-3</w:t>
            </w:r>
          </w:p>
        </w:tc>
        <w:tc>
          <w:tcPr>
            <w:tcW w:type="dxa" w:w="500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Possible impermissible disclosure with real uncertainty; single record or near-miss.</w:t>
            </w:r>
          </w:p>
        </w:tc>
        <w:tc>
          <w:tcPr>
            <w:tcW w:type="dxa" w:w="286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Engage within 4 business hours.</w:t>
            </w:r>
          </w:p>
        </w:tc>
      </w:tr>
      <w:tr>
        <w:tc>
          <w:tcPr>
            <w:tcW w:type="dxa" w:w="150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shd w:fill="F4F7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Sev-4</w:t>
            </w:r>
          </w:p>
        </w:tc>
        <w:tc>
          <w:tcPr>
            <w:tcW w:type="dxa" w:w="500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shd w:fill="F4F7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Confirmed non-event. De-identified. Documented only.</w:t>
            </w:r>
          </w:p>
        </w:tc>
        <w:tc>
          <w:tcPr>
            <w:tcW w:type="dxa" w:w="286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shd w:fill="F4F7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No active response.</w:t>
            </w:r>
          </w:p>
        </w:tc>
      </w:tr>
    </w:tbl>
    <w:p>
      <w:pPr>
        <w:pStyle w:val="Heading2"/>
        <w:spacing w:after="140" w:before="240"/>
      </w:pPr>
      <w:r>
        <w:rPr>
          <w:rFonts w:ascii="Calibri Light" w:cs="Calibri Light" w:eastAsia="Calibri Light" w:hAnsi="Calibri Light"/>
          <w:b/>
          <w:bCs/>
          <w:color w:val="0E1421"/>
          <w:sz w:val="28"/>
          <w:szCs w:val="28"/>
        </w:rPr>
        <w:t xml:space="preserve">Response Steps</w:t>
      </w:r>
    </w:p>
    <w:p>
      <w:pPr>
        <w:pStyle w:val="Heading3"/>
        <w:spacing w:after="100" w:before="200"/>
      </w:pPr>
      <w:r>
        <w:rPr>
          <w:rFonts w:ascii="Calibri Light" w:cs="Calibri Light" w:eastAsia="Calibri Light" w:hAnsi="Calibri Light"/>
          <w:b/>
          <w:bCs/>
          <w:color w:val="3A4453"/>
          <w:sz w:val="24"/>
          <w:szCs w:val="24"/>
        </w:rPr>
        <w:t xml:space="preserve">Hour 0 — Get the team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On-call acknowledges within 15 minutes (business hours) / 1 hour (after).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Designate Incident Commander. Default: Head of Engineering as HIPAA Security Officer.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Open a Slack incident channel. All comms there.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Pull in: Privacy Officer, Legal, Communications, on-call tech responder.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Set initial severity. Record it.</w:t>
      </w:r>
    </w:p>
    <w:p>
      <w:pPr>
        <w:pStyle w:val="Heading3"/>
        <w:spacing w:after="100" w:before="200"/>
      </w:pPr>
      <w:r>
        <w:rPr>
          <w:rFonts w:ascii="Calibri Light" w:cs="Calibri Light" w:eastAsia="Calibri Light" w:hAnsi="Calibri Light"/>
          <w:b/>
          <w:bCs/>
          <w:color w:val="3A4453"/>
          <w:sz w:val="24"/>
          <w:szCs w:val="24"/>
        </w:rPr>
        <w:t xml:space="preserve">Hours 1-4 — Contain and triage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Identify affected systems and dataset. Preserve evidence (logs, snapshots).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Take containment actions: revoke access, isolate systems, rotate credentials.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Sev-1/Sev-2: Legal engages outside counsel.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Privacy Officer starts the four-factor risk assessment (45 CFR 164.402(2)).</w:t>
      </w:r>
    </w:p>
    <w:p>
      <w:pPr>
        <w:pStyle w:val="Heading3"/>
        <w:spacing w:after="100" w:before="200"/>
      </w:pPr>
      <w:r>
        <w:rPr>
          <w:rFonts w:ascii="Calibri Light" w:cs="Calibri Light" w:eastAsia="Calibri Light" w:hAnsi="Calibri Light"/>
          <w:b/>
          <w:bCs/>
          <w:color w:val="3A4453"/>
          <w:sz w:val="24"/>
          <w:szCs w:val="24"/>
        </w:rPr>
        <w:t xml:space="preserve">Hours 4-24 — Investigate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Continue evidence collection. Hash and timestamp everything.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Work through the four factors: nature of PHI, recipient, was it actually viewed, mitigation.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Communications drafts the customer notification; Legal reviews.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Incident Commander updates Approver and the affected customer within 24 hours.</w:t>
      </w:r>
    </w:p>
    <w:p>
      <w:pPr>
        <w:pStyle w:val="Heading3"/>
        <w:spacing w:after="100" w:before="200"/>
      </w:pPr>
      <w:r>
        <w:rPr>
          <w:rFonts w:ascii="Calibri Light" w:cs="Calibri Light" w:eastAsia="Calibri Light" w:hAnsi="Calibri Light"/>
          <w:b/>
          <w:bCs/>
          <w:color w:val="3A4453"/>
          <w:sz w:val="24"/>
          <w:szCs w:val="24"/>
        </w:rPr>
        <w:t xml:space="preserve">24+ hours — Notify and recover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If the four-factor says it's a Breach: notify the customer per the BAA timeline (often 5 business days; some BAAs say 24-72 hours).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Coordinate any state-level notification with Legal.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Recovery in parallel: restore systems, reissue credentials, support customer remediation.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Close only when containment + notification + recovery are all documented complete.</w:t>
      </w:r>
    </w:p>
    <w:p>
      <w:pPr>
        <w:pStyle w:val="Heading2"/>
        <w:spacing w:after="140" w:before="240"/>
      </w:pPr>
      <w:r>
        <w:rPr>
          <w:rFonts w:ascii="Calibri Light" w:cs="Calibri Light" w:eastAsia="Calibri Light" w:hAnsi="Calibri Light"/>
          <w:b/>
          <w:bCs/>
          <w:color w:val="0E1421"/>
          <w:sz w:val="28"/>
          <w:szCs w:val="28"/>
        </w:rPr>
        <w:t xml:space="preserve">Communication Plan</w:t>
      </w:r>
    </w:p>
    <w:p>
      <w:pPr>
        <w:spacing w:after="14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Internal: every update in the incident channel. Approver gets a written summary at hour 1, hour 24, on any severity change, and at closure. External: CEO authorizes; Legal reviews; Communications Lead logs every notification (date, recipient, channel).</w:t>
      </w:r>
    </w:p>
    <w:p>
      <w:pPr>
        <w:pStyle w:val="Heading2"/>
        <w:spacing w:after="140" w:before="240"/>
      </w:pPr>
      <w:r>
        <w:rPr>
          <w:rFonts w:ascii="Calibri Light" w:cs="Calibri Light" w:eastAsia="Calibri Light" w:hAnsi="Calibri Light"/>
          <w:b/>
          <w:bCs/>
          <w:color w:val="0E1421"/>
          <w:sz w:val="28"/>
          <w:szCs w:val="28"/>
        </w:rPr>
        <w:t xml:space="preserve">Escalation Path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Sev-1/Sev-2 → Approver within 1 hour.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500+ affected → Board rep within 24 hours.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Regulatory inquiry or legal hold → Legal immediately, outside counsel within 4 hours.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Subprocessor involved → Subprocessor Incident Procedure kicks in.</w:t>
      </w:r>
    </w:p>
    <w:p>
      <w:pPr>
        <w:pStyle w:val="Heading2"/>
        <w:spacing w:after="140" w:before="240"/>
      </w:pPr>
      <w:r>
        <w:rPr>
          <w:rFonts w:ascii="Calibri Light" w:cs="Calibri Light" w:eastAsia="Calibri Light" w:hAnsi="Calibri Light"/>
          <w:b/>
          <w:bCs/>
          <w:color w:val="0E1421"/>
          <w:sz w:val="28"/>
          <w:szCs w:val="28"/>
        </w:rPr>
        <w:t xml:space="preserve">Post-Incident Review Checklist</w:t>
      </w:r>
    </w:p>
    <w:p>
      <w:pPr>
        <w:spacing w:after="14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Within 15 business days of close. Incident Commander runs the meeting. Produces a Post-Incident Report covering: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Timeline (detection → declaration → containment → notification → close).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Root cause and contributing factors.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What controls worked, what didn't, what was missing.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Customer impact (individuals affected, PHI categories, notifications delivered).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Regulator and contractual notifications.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Remediation owners and dates.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Updates to this runbook, the IR Plan, or related policies.</w:t>
      </w:r>
    </w:p>
    <w:p>
      <w:pPr>
        <w:pStyle w:val="Heading2"/>
        <w:spacing w:after="140" w:before="240"/>
      </w:pPr>
      <w:r>
        <w:rPr>
          <w:rFonts w:ascii="Calibri Light" w:cs="Calibri Light" w:eastAsia="Calibri Light" w:hAnsi="Calibri Light"/>
          <w:b/>
          <w:bCs/>
          <w:color w:val="0E1421"/>
          <w:sz w:val="28"/>
          <w:szCs w:val="28"/>
        </w:rPr>
        <w:t xml:space="preserve">Roles and Responsibilities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rPr>
          <w:tblHeader/>
        </w:trPr>
        <w:tc>
          <w:tcPr>
            <w:tcW w:type="dxa" w:w="320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shd w:fill="00D4F5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E1421"/>
                <w:sz w:val="22"/>
                <w:szCs w:val="22"/>
              </w:rPr>
              <w:t xml:space="preserve">Role</w:t>
            </w:r>
          </w:p>
        </w:tc>
        <w:tc>
          <w:tcPr>
            <w:tcW w:type="dxa" w:w="616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shd w:fill="00D4F5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E1421"/>
                <w:sz w:val="22"/>
                <w:szCs w:val="22"/>
              </w:rPr>
              <w:t xml:space="preserve">Responsibilities</w:t>
            </w:r>
          </w:p>
        </w:tc>
      </w:tr>
      <w:tr>
        <w:tc>
          <w:tcPr>
            <w:tcW w:type="dxa" w:w="320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Runbook Owner ({{POLICY_OWNER}})</w:t>
            </w:r>
          </w:p>
        </w:tc>
        <w:tc>
          <w:tcPr>
            <w:tcW w:type="dxa" w:w="616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Maintains this Runbook, schedules drills, and incorporates post-incident lessons learned.</w:t>
            </w:r>
          </w:p>
        </w:tc>
      </w:tr>
      <w:tr>
        <w:tc>
          <w:tcPr>
            <w:tcW w:type="dxa" w:w="320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shd w:fill="F4F7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Incident Commander</w:t>
            </w:r>
          </w:p>
        </w:tc>
        <w:tc>
          <w:tcPr>
            <w:tcW w:type="dxa" w:w="616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shd w:fill="F4F7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Single decision-maker during the incident. Coordinates the response and authorizes communications.</w:t>
            </w:r>
          </w:p>
        </w:tc>
      </w:tr>
      <w:tr>
        <w:tc>
          <w:tcPr>
            <w:tcW w:type="dxa" w:w="320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HIPAA Privacy Officer</w:t>
            </w:r>
          </w:p>
        </w:tc>
        <w:tc>
          <w:tcPr>
            <w:tcW w:type="dxa" w:w="616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Engaged for every suspected PHI incident; signs off on the four-factor risk assessment.</w:t>
            </w:r>
          </w:p>
        </w:tc>
      </w:tr>
      <w:tr>
        <w:tc>
          <w:tcPr>
            <w:tcW w:type="dxa" w:w="320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shd w:fill="F4F7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HIPAA Security Officer</w:t>
            </w:r>
          </w:p>
        </w:tc>
        <w:tc>
          <w:tcPr>
            <w:tcW w:type="dxa" w:w="616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shd w:fill="F4F7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Coordinates technical investigation, evidence collection, and containment.</w:t>
            </w:r>
          </w:p>
        </w:tc>
      </w:tr>
      <w:tr>
        <w:tc>
          <w:tcPr>
            <w:tcW w:type="dxa" w:w="320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Legal</w:t>
            </w:r>
          </w:p>
        </w:tc>
        <w:tc>
          <w:tcPr>
            <w:tcW w:type="dxa" w:w="616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Engaged at incident declaration. Manages outside-counsel engagement, regulator communications, and customer-notification language.</w:t>
            </w:r>
          </w:p>
        </w:tc>
      </w:tr>
      <w:tr>
        <w:tc>
          <w:tcPr>
            <w:tcW w:type="dxa" w:w="320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shd w:fill="F4F7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Communications Lead</w:t>
            </w:r>
          </w:p>
        </w:tc>
        <w:tc>
          <w:tcPr>
            <w:tcW w:type="dxa" w:w="616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shd w:fill="F4F7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Drafts internal and external communications. Coordinates with the customer affected by the incident.</w:t>
            </w:r>
          </w:p>
        </w:tc>
      </w:tr>
    </w:tbl>
    <w:p>
      <w:pPr>
        <w:pStyle w:val="Heading2"/>
        <w:spacing w:after="140" w:before="240"/>
      </w:pPr>
      <w:r>
        <w:rPr>
          <w:rFonts w:ascii="Calibri Light" w:cs="Calibri Light" w:eastAsia="Calibri Light" w:hAnsi="Calibri Light"/>
          <w:b/>
          <w:bCs/>
          <w:color w:val="0E1421"/>
          <w:sz w:val="28"/>
          <w:szCs w:val="28"/>
        </w:rPr>
        <w:t xml:space="preserve">Review and Maintenance</w:t>
      </w:r>
    </w:p>
    <w:p>
      <w:pPr>
        <w:spacing w:after="1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0E1421"/>
          <w:sz w:val="22"/>
          <w:szCs w:val="22"/>
        </w:rPr>
        <w:t xml:space="preserve">Next review date: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{{NEXT_REVIEW_DATE}}</w:t>
      </w:r>
    </w:p>
    <w:p>
      <w:pPr>
        <w:spacing w:after="1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0E1421"/>
          <w:sz w:val="22"/>
          <w:szCs w:val="22"/>
        </w:rPr>
        <w:t xml:space="preserve">Review frequency: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Annually, after each Sev-1 or Sev-2 incident, and upon material change to the Breach Notification Rule.</w:t>
      </w:r>
    </w:p>
    <w:p>
      <w:pPr>
        <w:spacing w:after="1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0E1421"/>
          <w:sz w:val="22"/>
          <w:szCs w:val="22"/>
        </w:rPr>
        <w:t xml:space="preserve">Review triggers: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A material change in applicable laws, regulations, or contractual obligations.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Findings from an internal or external audit that affect this document.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A security or privacy incident that exposes a gap in the document.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An organizational change (acquisition, divestiture, new business line) that affects scope.</w:t>
      </w:r>
    </w:p>
    <w:p>
      <w:pPr>
        <w:pStyle w:val="Heading2"/>
        <w:spacing w:after="140" w:before="240"/>
      </w:pPr>
      <w:r>
        <w:rPr>
          <w:rFonts w:ascii="Calibri Light" w:cs="Calibri Light" w:eastAsia="Calibri Light" w:hAnsi="Calibri Light"/>
          <w:b/>
          <w:bCs/>
          <w:color w:val="0E1421"/>
          <w:sz w:val="28"/>
          <w:szCs w:val="28"/>
        </w:rPr>
        <w:t xml:space="preserve">Related Documents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Incident Response Plan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Breach Notification Policy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HIPAA Privacy Policy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HIPAA Security Policy</w:t>
      </w:r>
    </w:p>
    <w:p>
      <w:pPr>
        <w:pStyle w:val="Heading2"/>
        <w:spacing w:after="140" w:before="240"/>
      </w:pPr>
      <w:r>
        <w:rPr>
          <w:rFonts w:ascii="Calibri Light" w:cs="Calibri Light" w:eastAsia="Calibri Light" w:hAnsi="Calibri Light"/>
          <w:b/>
          <w:bCs/>
          <w:color w:val="0E1421"/>
          <w:sz w:val="28"/>
          <w:szCs w:val="28"/>
        </w:rPr>
        <w:t xml:space="preserve">Approval Signatures</w:t>
      </w:r>
    </w:p>
    <w:p>
      <w:pPr>
        <w:spacing w:after="14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This document becomes effective upon execution by both signatories below.</w:t>
      </w:r>
    </w:p>
    <w:p>
      <w:pP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/>
      </w:r>
    </w:p>
    <w:p>
      <w:pPr>
        <w:pStyle w:val="Heading3"/>
        <w:spacing w:after="100" w:before="200"/>
      </w:pPr>
      <w:r>
        <w:rPr>
          <w:rFonts w:ascii="Calibri Light" w:cs="Calibri Light" w:eastAsia="Calibri Light" w:hAnsi="Calibri Light"/>
          <w:b/>
          <w:bCs/>
          <w:color w:val="3A4453"/>
          <w:sz w:val="24"/>
          <w:szCs w:val="24"/>
        </w:rPr>
        <w:t xml:space="preserve">Policy Owner</w:t>
      </w:r>
    </w:p>
    <w:p>
      <w:pPr>
        <w:spacing w:after="14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Approved by:</w:t>
      </w:r>
    </w:p>
    <w:p>
      <w:pPr>
        <w:spacing w:after="1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________________________________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FFFFFF"/>
          <w:sz w:val="2"/>
          <w:szCs w:val="2"/>
        </w:rPr>
        <w:t xml:space="preserve">\sig1\</w:t>
      </w:r>
    </w:p>
    <w:p>
      <w:p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{{POLICY_OWNER}}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FFFFFF"/>
          <w:sz w:val="2"/>
          <w:szCs w:val="2"/>
        </w:rPr>
        <w:t xml:space="preserve">\name1\</w:t>
      </w:r>
    </w:p>
    <w:p>
      <w:pPr>
        <w:spacing w:after="1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{{POLICY_OWNER_TITLE}}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FFFFFF"/>
          <w:sz w:val="2"/>
          <w:szCs w:val="2"/>
        </w:rPr>
        <w:t xml:space="preserve">\title1\</w:t>
      </w:r>
    </w:p>
    <w:p>
      <w:pPr>
        <w:spacing w:after="2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Date: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____________________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FFFFFF"/>
          <w:sz w:val="2"/>
          <w:szCs w:val="2"/>
        </w:rPr>
        <w:t xml:space="preserve">\date1\</w:t>
      </w:r>
    </w:p>
    <w:p>
      <w:pPr>
        <w:pStyle w:val="Heading3"/>
        <w:spacing w:after="100" w:before="200"/>
      </w:pPr>
      <w:r>
        <w:rPr>
          <w:rFonts w:ascii="Calibri Light" w:cs="Calibri Light" w:eastAsia="Calibri Light" w:hAnsi="Calibri Light"/>
          <w:b/>
          <w:bCs/>
          <w:color w:val="3A4453"/>
          <w:sz w:val="24"/>
          <w:szCs w:val="24"/>
        </w:rPr>
        <w:t xml:space="preserve">Approver</w:t>
      </w:r>
    </w:p>
    <w:p>
      <w:pPr>
        <w:spacing w:after="14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Approved by:</w:t>
      </w:r>
    </w:p>
    <w:p>
      <w:pPr>
        <w:spacing w:after="1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________________________________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FFFFFF"/>
          <w:sz w:val="2"/>
          <w:szCs w:val="2"/>
        </w:rPr>
        <w:t xml:space="preserve">\sig2\</w:t>
      </w:r>
    </w:p>
    <w:p>
      <w:p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{{APPROVER_NAME}}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FFFFFF"/>
          <w:sz w:val="2"/>
          <w:szCs w:val="2"/>
        </w:rPr>
        <w:t xml:space="preserve">\name2\</w:t>
      </w:r>
    </w:p>
    <w:p>
      <w:pPr>
        <w:spacing w:after="1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{{APPROVER_TITLE}}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FFFFFF"/>
          <w:sz w:val="2"/>
          <w:szCs w:val="2"/>
        </w:rPr>
        <w:t xml:space="preserve">\title2\</w:t>
      </w:r>
    </w:p>
    <w:p>
      <w:pPr>
        <w:spacing w:after="2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Date: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____________________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FFFFFF"/>
          <w:sz w:val="2"/>
          <w:szCs w:val="2"/>
        </w:rPr>
        <w:t xml:space="preserve">\date2\</w:t>
      </w:r>
    </w:p>
    <w:sectPr>
      <w:headerReference w:type="default" r:id="rId7"/>
      <w:footerReference w:type="default" r:id="rId8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10080"/>
      </w:tabs>
    </w:pPr>
    <w:r>
      <w:rPr>
        <w:rFonts w:ascii="Calibri Light" w:cs="Calibri Light" w:eastAsia="Calibri Light" w:hAnsi="Calibri Light"/>
        <w:color w:val="0094B0"/>
        <w:spacing w:val="60"/>
        <w:sz w:val="16"/>
        <w:szCs w:val="16"/>
      </w:rPr>
      <w:t xml:space="preserve">Audit-ready, never compliant.</w:t>
    </w:r>
    <w:r>
      <w:t xml:space="preserve">	</w:t>
    </w:r>
    <w:r>
      <w:rPr>
        <w:rFonts w:ascii="Calibri" w:cs="Calibri" w:eastAsia="Calibri" w:hAnsi="Calibri"/>
        <w:color w:val="8A93A6"/>
        <w:sz w:val="16"/>
        <w:szCs w:val="16"/>
      </w:rPr>
      <w:t xml:space="preserve">Page </w:t>
    </w:r>
    <w:r>
      <w:rPr>
        <w:rFonts w:ascii="Calibri" w:cs="Calibri" w:eastAsia="Calibri" w:hAnsi="Calibri"/>
        <w:color w:val="8A93A6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8A93A6"/>
        <w:sz w:val="16"/>
        <w:szCs w:val="16"/>
      </w:rPr>
      <w:t xml:space="preserve"> of </w:t>
    </w:r>
    <w:r>
      <w:rPr>
        <w:rFonts w:ascii="Calibri" w:cs="Calibri" w:eastAsia="Calibri" w:hAnsi="Calibri"/>
        <w:color w:val="8A93A6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00D4F5" w:sz="6" w:space="4"/>
      </w:pBdr>
      <w:tabs>
        <w:tab w:val="right" w:pos="10080"/>
      </w:tabs>
    </w:pPr>
    <w:r>
      <w:rPr>
        <w:rFonts w:ascii="Calibri Light" w:cs="Calibri Light" w:eastAsia="Calibri Light" w:hAnsi="Calibri Light"/>
        <w:color w:val="0094B0"/>
        <w:spacing w:val="30"/>
        <w:sz w:val="18"/>
        <w:szCs w:val="18"/>
      </w:rPr>
      <w:t>{{TITLE}}</w:t>
    </w:r>
    <w:r>
      <w:t xml:space="preserve">	</w:t>
    </w:r>
    <w:r>
      <w:rPr>
        <w:rFonts w:ascii="Calibri" w:cs="Calibri" w:eastAsia="Calibri" w:hAnsi="Calibri"/>
        <w:color w:val="8A93A6"/>
        <w:sz w:val="16"/>
        <w:szCs w:val="16"/>
      </w:rPr>
      <w:t xml:space="preserve">{{CLASSIFICATION}}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80"/>
      </w:pPr>
    </w:lvl>
    <w:lvl w:ilvl="1" w15:tentative="1">
      <w:start w:val="1"/>
      <w:numFmt w:val="bullet"/>
      <w:lvlText w:val="◦"/>
      <w:lvlJc w:val="left"/>
      <w:pPr>
        <w:ind w:left="108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80"/>
      </w:pPr>
    </w:lvl>
    <w:lvl w:ilvl="1" w15:tentative="1">
      <w:start w:val="1"/>
      <w:numFmt w:val="lowerLetter"/>
      <w:lvlText w:val="%2."/>
      <w:lvlJc w:val="left"/>
      <w:pPr>
        <w:ind w:left="108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0E1421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20"/>
      <w:outlineLvl w:val="0"/>
    </w:pPr>
    <w:rPr>
      <w:rFonts w:ascii="Calibri Light" w:cs="Calibri Light" w:eastAsia="Calibri Light" w:hAnsi="Calibri Light"/>
      <w:b/>
      <w:bCs/>
      <w:color w:val="0E1421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40" w:before="240"/>
      <w:outlineLvl w:val="1"/>
    </w:pPr>
    <w:rPr>
      <w:rFonts w:ascii="Calibri Light" w:cs="Calibri Light" w:eastAsia="Calibri Light" w:hAnsi="Calibri Light"/>
      <w:b/>
      <w:bCs/>
      <w:color w:val="0E1421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Calibri Light" w:cs="Calibri Light" w:eastAsia="Calibri Light" w:hAnsi="Calibri Light"/>
      <w:b/>
      <w:bCs/>
      <w:color w:val="3A4453"/>
      <w:sz w:val="24"/>
      <w:szCs w:val="2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Suspected PHI Breach Runbook</dc:title>
  <dc:creator>Midnight</dc:creator>
  <dc:description>Runbook</dc:description>
  <cp:lastModifiedBy>Un-named</cp:lastModifiedBy>
  <cp:revision>1</cp:revision>
  <dcterms:created xsi:type="dcterms:W3CDTF">2026-05-16T15:41:08.726Z</dcterms:created>
  <dcterms:modified xsi:type="dcterms:W3CDTF">2026-05-16T15:41:08.726Z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