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POLICY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Acceptable Use Policy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Acceptable Use Policy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Applies 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employees, contractors, and authorized third parties with access to {{ORGANIZATION_NAME}}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Defines permitted and prohibited use of company technology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Protects data, maintains audit-readiness, limits organizational 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Reviewed annually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Purpose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Establish a single, executive-approved standard for how organization technology is used. Reduce the risk of accidental data loss, insider misuse, and regulatory exposure.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Scope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Authorized Users (employees, contractors, third parties). All Organization information resources (devices, networks, cloud services, code, data).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Policy Statements (Top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Credentials are personal. No sharing of passwords, MFA, or session tokens.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Credential sharing is the #1 cause of preventable breaches.</w:t>
            </w:r>
          </w:p>
        </w:tc>
      </w:tr>
      <w:t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Approved tools only. Use the catalog; request additions through the standard process.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Unapproved tools bypass our vendor-risk and data-handling controls.</w:t>
            </w:r>
          </w:p>
        </w:tc>
      </w:tr>
      <w:t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Sensitive data stays in sanctioned systems. No personal cloud, no consumer messaging.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 single exfiltration path defeats every other control.</w:t>
            </w:r>
          </w:p>
        </w:tc>
      </w:tr>
      <w:t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No bypassing security tools. Endpoint agents, MFA, content filters stay on.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Tools off = audit findings on.</w:t>
            </w:r>
          </w:p>
        </w:tc>
      </w:tr>
      <w:t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5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Report incidents fast. Lost device, suspected phish, suspicious access — within 4 hours.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Speed compresses regulatory notification windows.</w:t>
            </w:r>
          </w:p>
        </w:tc>
      </w:tr>
      <w:tr>
        <w:tc>
          <w:tcPr>
            <w:tcW w:type="dxa" w:w="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6</w:t>
            </w:r>
          </w:p>
        </w:tc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Use of generative AI for sensitive data is governed by the AI Acceptable Use Standard.</w:t>
            </w:r>
          </w:p>
        </w:tc>
        <w:tc>
          <w:tcPr>
            <w:tcW w:type="dxa" w:w="3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AI tools are the newest data-handling channel; treat them like any other.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Enforcement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Honest mistakes: coaching. Repeated or intentional violations: progressive discipline up to termination. Criminal conduct: referred to law enforcement.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Exceptions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Submit to {{POLICY_OWNER}} with business justification + compensating control. Decision in five business days. Maximum duration twelve months. Tracked in the Exception Register.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Authorized User: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anyone with a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Restricted 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PHI, payment card data, or anything classified Restricted under the Data Classification Policy.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Policy, schedules reviews, processes exception requests, and approves minor revisions in accordance with the change control process.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at each annual review. Sponsors enforcement decisions arising from material policy violations.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Reviewer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Conducts substantive review at the scheduled cadence and documents the review outcome in the document control table.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Authorized User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Reads and complies with this Policy. Reports suspected violations and incidents through the channels defined herein.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qualifying trigger.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Access Control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Classification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Response Plan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>{{TITLE}}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creator>Midnight</dc:creator>
  <dc:description>Policy</dc:description>
  <cp:lastModifiedBy>Un-named</cp:lastModifiedBy>
  <cp:revision>1</cp:revision>
  <dcterms:created xsi:type="dcterms:W3CDTF">2026-05-16T15:23:24.107Z</dcterms:created>
  <dcterms:modified xsi:type="dcterms:W3CDTF">2026-05-16T15:23:24.107Z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