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POLICY</w:t>
      </w:r>
    </w:p>
    <w:p>
      <w:pPr>
        <w:spacing w:after="200" w:before="0"/>
        <w:jc w:val="center"/>
      </w:pPr>
      <w:r>
        <w:rPr>
          <w:rFonts w:ascii="Calibri Light" w:cs="Calibri Light" w:eastAsia="Calibri Light" w:hAnsi="Calibri Light"/>
          <w:b/>
          <w:bCs/>
          <w:color w:val="0E1421"/>
          <w:sz w:val="56"/>
          <w:szCs w:val="56"/>
        </w:rPr>
        <w:t xml:space="preserve">Acceptable Use Policy</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Purpose</w:t>
      </w:r>
    </w:p>
    <w:p>
      <w:pPr>
        <w:spacing w:after="140" w:before="0"/>
      </w:pPr>
      <w:r>
        <w:rPr>
          <w:rFonts w:ascii="Calibri" w:cs="Calibri" w:eastAsia="Calibri" w:hAnsi="Calibri"/>
          <w:b w:val="false"/>
          <w:bCs w:val="false"/>
          <w:i w:val="false"/>
          <w:iCs w:val="false"/>
          <w:color w:val="0E1421"/>
          <w:sz w:val="22"/>
          <w:szCs w:val="22"/>
        </w:rPr>
        <w:t xml:space="preserve">This Acceptable Use Policy ("Policy") establishes the standards and expectations governing all individuals authorized to access {{ORGANIZATION_NAME}}'s ("Organization") information technology resources. This Policy is promulgated pursuant to the authority of executive management and shall be construed in accordance with applicable laws, regulations, and contractual obligations. All Authorized Users shall be subject to the provisions set forth herein as a condition of continued authorization to access the Organization's systems and data.</w:t>
      </w:r>
    </w:p>
    <w:p>
      <w:pPr>
        <w:spacing w:after="140" w:before="0"/>
      </w:pPr>
      <w:r>
        <w:rPr>
          <w:rFonts w:ascii="Calibri" w:cs="Calibri" w:eastAsia="Calibri" w:hAnsi="Calibri"/>
          <w:b w:val="false"/>
          <w:bCs w:val="false"/>
          <w:i w:val="false"/>
          <w:iCs w:val="false"/>
          <w:color w:val="0E1421"/>
          <w:sz w:val="22"/>
          <w:szCs w:val="22"/>
        </w:rPr>
        <w:t xml:space="preserve">The Organization maintains this Policy as part of its information security program, which is designed and operated to address considerations under applicable frameworks including, where in scope, the SOC 2 Type II Trust Services Criteria, the HIPAA Security Rule, and ISO/IEC 27001:2022. Nothing herein shall be construed as creating an admission of compliance under any specific framework; such determinations are reserved to the Organization's auditors and regulators.</w:t>
      </w:r>
    </w:p>
    <w:p>
      <w:pPr>
        <w:pStyle w:val="Heading2"/>
        <w:spacing w:after="140" w:before="240"/>
      </w:pPr>
      <w:r>
        <w:rPr>
          <w:rFonts w:ascii="Calibri Light" w:cs="Calibri Light" w:eastAsia="Calibri Light" w:hAnsi="Calibri Light"/>
          <w:b/>
          <w:bCs/>
          <w:color w:val="0E1421"/>
          <w:sz w:val="28"/>
          <w:szCs w:val="28"/>
        </w:rPr>
        <w:t xml:space="preserve">2. Scope</w:t>
      </w:r>
    </w:p>
    <w:p>
      <w:pPr>
        <w:spacing w:after="140" w:before="0"/>
      </w:pPr>
      <w:r>
        <w:rPr>
          <w:rFonts w:ascii="Calibri" w:cs="Calibri" w:eastAsia="Calibri" w:hAnsi="Calibri"/>
          <w:b w:val="false"/>
          <w:bCs w:val="false"/>
          <w:i w:val="false"/>
          <w:iCs w:val="false"/>
          <w:color w:val="0E1421"/>
          <w:sz w:val="22"/>
          <w:szCs w:val="22"/>
        </w:rPr>
        <w:t xml:space="preserve">2.1 This Policy applies to all Authorized Users, which term shall include and is limited to: (i) employees of the Organization, whether full-time or part-time; (ii) contractors and consultants engaged by the Organization; (iii) interns and other temporary workforce members; and (iv) third parties to whom access to Organization Information Resources has been expressly granted in writing.</w:t>
      </w:r>
    </w:p>
    <w:p>
      <w:pPr>
        <w:spacing w:after="140" w:before="0"/>
      </w:pPr>
      <w:r>
        <w:rPr>
          <w:rFonts w:ascii="Calibri" w:cs="Calibri" w:eastAsia="Calibri" w:hAnsi="Calibri"/>
          <w:b w:val="false"/>
          <w:bCs w:val="false"/>
          <w:i w:val="false"/>
          <w:iCs w:val="false"/>
          <w:color w:val="0E1421"/>
          <w:sz w:val="22"/>
          <w:szCs w:val="22"/>
        </w:rPr>
        <w:t xml:space="preserve">2.2 This Policy applies to all Information Resources of the Organization, including without limitation: (a) endpoint devices issued or owned by the Organization; (b) personal devices used for Organization business pursuant to any Bring-Your-Own-Device policy; (c) network infrastructure operated by or on behalf of the Organization; (d) cloud-hosted services subscribed to by the Organization; (e) electronic mail and collaboration platforms; and (f) any other digital asset or service to which Authorized Users are granted access.</w:t>
      </w:r>
    </w:p>
    <w:p>
      <w:pPr>
        <w:spacing w:after="140" w:before="0"/>
      </w:pPr>
      <w:r>
        <w:rPr>
          <w:rFonts w:ascii="Calibri" w:cs="Calibri" w:eastAsia="Calibri" w:hAnsi="Calibri"/>
          <w:b w:val="false"/>
          <w:bCs w:val="false"/>
          <w:i w:val="false"/>
          <w:iCs w:val="false"/>
          <w:color w:val="0E1421"/>
          <w:sz w:val="22"/>
          <w:szCs w:val="22"/>
        </w:rPr>
        <w:t xml:space="preserve">2.3 In the event of a conflict between this Policy and a more specific written agreement executed by an Authorized User, the more restrictive provision shall govern.</w:t>
      </w:r>
    </w:p>
    <w:p>
      <w:pPr>
        <w:pStyle w:val="Heading2"/>
        <w:spacing w:after="140" w:before="240"/>
      </w:pPr>
      <w:r>
        <w:rPr>
          <w:rFonts w:ascii="Calibri Light" w:cs="Calibri Light" w:eastAsia="Calibri Light" w:hAnsi="Calibri Light"/>
          <w:b/>
          <w:bCs/>
          <w:color w:val="0E1421"/>
          <w:sz w:val="28"/>
          <w:szCs w:val="28"/>
        </w:rPr>
        <w:t xml:space="preserve">3. Policy Statements</w:t>
      </w:r>
    </w:p>
    <w:p>
      <w:pPr>
        <w:pStyle w:val="Heading3"/>
        <w:spacing w:after="100" w:before="200"/>
      </w:pPr>
      <w:r>
        <w:rPr>
          <w:rFonts w:ascii="Calibri Light" w:cs="Calibri Light" w:eastAsia="Calibri Light" w:hAnsi="Calibri Light"/>
          <w:b/>
          <w:bCs/>
          <w:color w:val="3A4453"/>
          <w:sz w:val="24"/>
          <w:szCs w:val="24"/>
        </w:rPr>
        <w:t xml:space="preserve">3.1 General Use and Ownership</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exercise reasonable care in the use of Information Resources and shall act in a manner consistent with the Organization's legitimate business interests.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All data created, stored, transmitted, or received in connection with the Authorized User's use of Information Resources remains the property of the Organization, subject to applicable privacy laws and any agreement to the contrary.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Organization reserves the right to monitor, inspect, and audit use of Information Resources without prior notice to the Authorized User, to the extent permitted by applicable law.</w:t>
      </w:r>
    </w:p>
    <w:p>
      <w:pPr>
        <w:pStyle w:val="Heading3"/>
        <w:spacing w:after="100" w:before="200"/>
      </w:pPr>
      <w:r>
        <w:rPr>
          <w:rFonts w:ascii="Calibri Light" w:cs="Calibri Light" w:eastAsia="Calibri Light" w:hAnsi="Calibri Light"/>
          <w:b/>
          <w:bCs/>
          <w:color w:val="3A4453"/>
          <w:sz w:val="24"/>
          <w:szCs w:val="24"/>
        </w:rPr>
        <w:t xml:space="preserve">3.2 Security and Confidentiality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not disclose authentication credentials, including passwords, multi-factor authentication codes, or session tokens, to any other person, whether an Authorized User or otherwise.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use only Organization-approved methods to store, transmit, and process Confidential Information and Protected Health Information ("PHI") where applicable.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promptly report to the Information Security function any suspected unauthorized access, disclosure, modification, or destruction of Information Resources.</w:t>
      </w:r>
    </w:p>
    <w:p>
      <w:pPr>
        <w:pStyle w:val="Heading3"/>
        <w:spacing w:after="100" w:before="200"/>
      </w:pPr>
      <w:r>
        <w:rPr>
          <w:rFonts w:ascii="Calibri Light" w:cs="Calibri Light" w:eastAsia="Calibri Light" w:hAnsi="Calibri Light"/>
          <w:b/>
          <w:bCs/>
          <w:color w:val="3A4453"/>
          <w:sz w:val="24"/>
          <w:szCs w:val="24"/>
        </w:rPr>
        <w:t xml:space="preserve">3.3 Prohibited Conduct</w:t>
      </w:r>
    </w:p>
    <w:p>
      <w:pPr>
        <w:spacing w:after="140" w:before="0"/>
      </w:pPr>
      <w:r>
        <w:rPr>
          <w:rFonts w:ascii="Calibri" w:cs="Calibri" w:eastAsia="Calibri" w:hAnsi="Calibri"/>
          <w:b w:val="false"/>
          <w:bCs w:val="false"/>
          <w:i w:val="false"/>
          <w:iCs w:val="false"/>
          <w:color w:val="0E1421"/>
          <w:sz w:val="22"/>
          <w:szCs w:val="22"/>
        </w:rPr>
        <w:t xml:space="preserve">The following activities are expressly prohibited and shall constitute a violation of this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of Information Resources for any unlawful purpose, including but not limited to the violation of intellectual property rights, the distribution of malicious software, or the harassment of any individual.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Circumvention or attempted circumvention of any security control implemented by the Organization, including without limitation endpoint detection agents, content filters, and access controls.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Installation of software not approved through the Organization's software acquisition and approval process.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of Information Resources for personal commercial gain not authorized in writing by {{POLICY_OWNER}}.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Transmission of Confidential Information or PHI through unsanctioned communications channels, including personal email accounts, consumer messaging applications, or unencrypted media.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Storage of Organization data on personal cloud storage services, personal devices not enrolled in the Organization's management framework, or removable media not approved by the Information Security function.</w:t>
      </w:r>
    </w:p>
    <w:p>
      <w:pPr>
        <w:pStyle w:val="Heading3"/>
        <w:spacing w:after="100" w:before="200"/>
      </w:pPr>
      <w:r>
        <w:rPr>
          <w:rFonts w:ascii="Calibri Light" w:cs="Calibri Light" w:eastAsia="Calibri Light" w:hAnsi="Calibri Light"/>
          <w:b/>
          <w:bCs/>
          <w:color w:val="3A4453"/>
          <w:sz w:val="24"/>
          <w:szCs w:val="24"/>
        </w:rPr>
        <w:t xml:space="preserve">3.4 Reporting Obligations</w:t>
      </w:r>
    </w:p>
    <w:p>
      <w:pPr>
        <w:spacing w:after="140" w:before="0"/>
      </w:pPr>
      <w:r>
        <w:rPr>
          <w:rFonts w:ascii="Calibri" w:cs="Calibri" w:eastAsia="Calibri" w:hAnsi="Calibri"/>
          <w:b w:val="false"/>
          <w:bCs w:val="false"/>
          <w:i w:val="false"/>
          <w:iCs w:val="false"/>
          <w:color w:val="0E1421"/>
          <w:sz w:val="22"/>
          <w:szCs w:val="22"/>
        </w:rPr>
        <w:t xml:space="preserve">Authorized Users shall report (i) any suspected violation of this Policy by themselves or others; (ii) the loss or theft of any device, credential, or media containing Organization data; and (iii) any suspected security or privacy incident. Reports shall be made to {{SECURITY_CONTACT}} promptly and in any event within the timeframes specified in the Incident Response Plan.</w:t>
      </w:r>
    </w:p>
    <w:p>
      <w:pPr>
        <w:pStyle w:val="Heading2"/>
        <w:spacing w:after="140" w:before="240"/>
      </w:pPr>
      <w:r>
        <w:rPr>
          <w:rFonts w:ascii="Calibri Light" w:cs="Calibri Light" w:eastAsia="Calibri Light" w:hAnsi="Calibri Light"/>
          <w:b/>
          <w:bCs/>
          <w:color w:val="0E1421"/>
          <w:sz w:val="28"/>
          <w:szCs w:val="28"/>
        </w:rPr>
        <w:t xml:space="preserve">4. Compliance and Enforcement</w:t>
      </w:r>
    </w:p>
    <w:p>
      <w:pPr>
        <w:spacing w:after="140" w:before="0"/>
      </w:pPr>
      <w:r>
        <w:rPr>
          <w:rFonts w:ascii="Calibri" w:cs="Calibri" w:eastAsia="Calibri" w:hAnsi="Calibri"/>
          <w:b w:val="false"/>
          <w:bCs w:val="false"/>
          <w:i w:val="false"/>
          <w:iCs w:val="false"/>
          <w:color w:val="0E1421"/>
          <w:sz w:val="22"/>
          <w:szCs w:val="22"/>
        </w:rPr>
        <w:t xml:space="preserve">4.1 Compliance with this Policy is a condition of continued authorization to access Organization Information Resources. The Organization may, at its sole discretion and as permitted by applicable law, suspend or revoke an Authorized User's access pending investigation of a suspected violation.</w:t>
      </w:r>
    </w:p>
    <w:p>
      <w:pPr>
        <w:spacing w:after="140" w:before="0"/>
      </w:pPr>
      <w:r>
        <w:rPr>
          <w:rFonts w:ascii="Calibri" w:cs="Calibri" w:eastAsia="Calibri" w:hAnsi="Calibri"/>
          <w:b w:val="false"/>
          <w:bCs w:val="false"/>
          <w:i w:val="false"/>
          <w:iCs w:val="false"/>
          <w:color w:val="0E1421"/>
          <w:sz w:val="22"/>
          <w:szCs w:val="22"/>
        </w:rPr>
        <w:t xml:space="preserve">4.2 Violations of this Policy may result in disciplinary action up to and including termination of employment or contract. Where conduct may constitute a violation of applicable law, the Organization may, at its sole discretion, refer the matter to law enforcement or civil authorities. Nothing herein shall limit the Organization's right to pursue any other remedy available at law or in equity.</w:t>
      </w:r>
    </w:p>
    <w:p>
      <w:pPr>
        <w:spacing w:after="140" w:before="0"/>
      </w:pPr>
      <w:r>
        <w:rPr>
          <w:rFonts w:ascii="Calibri" w:cs="Calibri" w:eastAsia="Calibri" w:hAnsi="Calibri"/>
          <w:b w:val="false"/>
          <w:bCs w:val="false"/>
          <w:i w:val="false"/>
          <w:iCs w:val="false"/>
          <w:color w:val="0E1421"/>
          <w:sz w:val="22"/>
          <w:szCs w:val="22"/>
        </w:rPr>
        <w:t xml:space="preserve">4.3 The Organization shall document each enforcement action taken under this Policy and shall retain such documentation in accordance with the Document Retention Schedule.</w:t>
      </w:r>
    </w:p>
    <w:p>
      <w:pPr>
        <w:pStyle w:val="Heading2"/>
        <w:spacing w:after="140" w:before="240"/>
      </w:pPr>
      <w:r>
        <w:rPr>
          <w:rFonts w:ascii="Calibri Light" w:cs="Calibri Light" w:eastAsia="Calibri Light" w:hAnsi="Calibri Light"/>
          <w:b/>
          <w:bCs/>
          <w:color w:val="0E1421"/>
          <w:sz w:val="28"/>
          <w:szCs w:val="28"/>
        </w:rPr>
        <w:t xml:space="preserve">5. Exceptions Process</w:t>
      </w:r>
    </w:p>
    <w:p>
      <w:pPr>
        <w:spacing w:after="140" w:before="0"/>
      </w:pPr>
      <w:r>
        <w:rPr>
          <w:rFonts w:ascii="Calibri" w:cs="Calibri" w:eastAsia="Calibri" w:hAnsi="Calibri"/>
          <w:b w:val="false"/>
          <w:bCs w:val="false"/>
          <w:i w:val="false"/>
          <w:iCs w:val="false"/>
          <w:color w:val="0E1421"/>
          <w:sz w:val="22"/>
          <w:szCs w:val="22"/>
        </w:rPr>
        <w:t xml:space="preserve">5.1 Any Authorized User seeking an exception to a provision of this Policy shall submit a written request to {{POLICY_OWNER}} setting forth: (i) the specific provision for which an exception is sought; (ii) the business justification; (iii) the proposed compensating control; and (iv) the proposed duration of the exception, which shall not exceed twelve (12) months without renewal.</w:t>
      </w:r>
    </w:p>
    <w:p>
      <w:pPr>
        <w:spacing w:after="140" w:before="0"/>
      </w:pPr>
      <w:r>
        <w:rPr>
          <w:rFonts w:ascii="Calibri" w:cs="Calibri" w:eastAsia="Calibri" w:hAnsi="Calibri"/>
          <w:b w:val="false"/>
          <w:bCs w:val="false"/>
          <w:i w:val="false"/>
          <w:iCs w:val="false"/>
          <w:color w:val="0E1421"/>
          <w:sz w:val="22"/>
          <w:szCs w:val="22"/>
        </w:rPr>
        <w:t xml:space="preserve">5.2 Exception requests shall be evaluated by {{POLICY_OWNER}} in consultation with the Information Security function. Material exceptions shall be referred to {{APPROVER_NAME}} for approval. Approved exceptions shall be documented in the Exception Register and reviewed at least every six (6) months.</w:t>
      </w:r>
    </w:p>
    <w:p>
      <w:pPr>
        <w:spacing w:after="140" w:before="0"/>
      </w:pPr>
      <w:r>
        <w:rPr>
          <w:rFonts w:ascii="Calibri" w:cs="Calibri" w:eastAsia="Calibri" w:hAnsi="Calibri"/>
          <w:b w:val="false"/>
          <w:bCs w:val="false"/>
          <w:i w:val="false"/>
          <w:iCs w:val="false"/>
          <w:color w:val="0E1421"/>
          <w:sz w:val="22"/>
          <w:szCs w:val="22"/>
        </w:rPr>
        <w:t xml:space="preserve">5.3 An exception shall not be effective until documented in writing and signed by {{POLICY_OWNER}}. Verbal exceptions shall be of no effect.</w:t>
      </w:r>
    </w:p>
    <w:p>
      <w:pPr>
        <w:pStyle w:val="Heading2"/>
        <w:spacing w:after="140" w:before="240"/>
      </w:pPr>
      <w:r>
        <w:rPr>
          <w:rFonts w:ascii="Calibri Light" w:cs="Calibri Light" w:eastAsia="Calibri Light" w:hAnsi="Calibri Light"/>
          <w:b/>
          <w:bCs/>
          <w:color w:val="0E1421"/>
          <w:sz w:val="28"/>
          <w:szCs w:val="28"/>
        </w:rPr>
        <w:t xml:space="preserve">6. Definitions</w:t>
      </w:r>
    </w:p>
    <w:p>
      <w:pPr>
        <w:spacing w:after="140" w:before="0"/>
      </w:pPr>
      <w:r>
        <w:rPr>
          <w:rFonts w:ascii="Calibri" w:cs="Calibri" w:eastAsia="Calibri" w:hAnsi="Calibri"/>
          <w:b w:val="false"/>
          <w:bCs w:val="false"/>
          <w:i w:val="false"/>
          <w:iCs w:val="false"/>
          <w:color w:val="0E1421"/>
          <w:sz w:val="22"/>
          <w:szCs w:val="22"/>
        </w:rPr>
        <w:t xml:space="preserve">For purposes of this Policy, the following terms shall have the meanings ascribed to them below. Where a term is capitalized in this Policy and not defined herein, it shall have the meaning ascribed to it in the Information Security Policy or, failing such definition, the ordinary meaning ascribed to it in the relevant industry.</w:t>
      </w:r>
    </w:p>
    <w:p>
      <w:pPr>
        <w:pStyle w:val="ListParagraph"/>
        <w:numPr>
          <w:ilvl w:val="0"/>
          <w:numId w:val="3"/>
        </w:numPr>
        <w:spacing w:after="80"/>
      </w:pPr>
      <w:r>
        <w:rPr>
          <w:rFonts w:ascii="Calibri" w:cs="Calibri" w:eastAsia="Calibri" w:hAnsi="Calibri"/>
          <w:b/>
          <w:bCs/>
          <w:i w:val="false"/>
          <w:iCs w:val="false"/>
          <w:color w:val="0E1421"/>
          <w:sz w:val="22"/>
          <w:szCs w:val="22"/>
        </w:rPr>
        <w:t xml:space="preserve">"Authorized User"</w:t>
      </w:r>
      <w:r>
        <w:rPr>
          <w:rFonts w:ascii="Calibri" w:cs="Calibri" w:eastAsia="Calibri" w:hAnsi="Calibri"/>
          <w:b w:val="false"/>
          <w:bCs w:val="false"/>
          <w:i w:val="false"/>
          <w:iCs w:val="false"/>
          <w:color w:val="0E1421"/>
          <w:sz w:val="22"/>
          <w:szCs w:val="22"/>
        </w:rPr>
        <w:t xml:space="preserve"> has the meaning set forth in Section 2.1.</w:t>
      </w:r>
    </w:p>
    <w:p>
      <w:pPr>
        <w:pStyle w:val="ListParagraph"/>
        <w:numPr>
          <w:ilvl w:val="0"/>
          <w:numId w:val="3"/>
        </w:numPr>
        <w:spacing w:after="80"/>
      </w:pPr>
      <w:r>
        <w:rPr>
          <w:rFonts w:ascii="Calibri" w:cs="Calibri" w:eastAsia="Calibri" w:hAnsi="Calibri"/>
          <w:b/>
          <w:bCs/>
          <w:i w:val="false"/>
          <w:iCs w:val="false"/>
          <w:color w:val="0E1421"/>
          <w:sz w:val="22"/>
          <w:szCs w:val="22"/>
        </w:rPr>
        <w:t xml:space="preserve">"Confidential Information"</w:t>
      </w:r>
      <w:r>
        <w:rPr>
          <w:rFonts w:ascii="Calibri" w:cs="Calibri" w:eastAsia="Calibri" w:hAnsi="Calibri"/>
          <w:b w:val="false"/>
          <w:bCs w:val="false"/>
          <w:i w:val="false"/>
          <w:iCs w:val="false"/>
          <w:color w:val="0E1421"/>
          <w:sz w:val="22"/>
          <w:szCs w:val="22"/>
        </w:rPr>
        <w:t xml:space="preserve"> means any non-public information of the Organization, its customers, or its business partners, regardless of form or medium.</w:t>
      </w:r>
    </w:p>
    <w:p>
      <w:pPr>
        <w:pStyle w:val="ListParagraph"/>
        <w:numPr>
          <w:ilvl w:val="0"/>
          <w:numId w:val="3"/>
        </w:numPr>
        <w:spacing w:after="80"/>
      </w:pPr>
      <w:r>
        <w:rPr>
          <w:rFonts w:ascii="Calibri" w:cs="Calibri" w:eastAsia="Calibri" w:hAnsi="Calibri"/>
          <w:b/>
          <w:bCs/>
          <w:i w:val="false"/>
          <w:iCs w:val="false"/>
          <w:color w:val="0E1421"/>
          <w:sz w:val="22"/>
          <w:szCs w:val="22"/>
        </w:rPr>
        <w:t xml:space="preserve">"Information Resources"</w:t>
      </w:r>
      <w:r>
        <w:rPr>
          <w:rFonts w:ascii="Calibri" w:cs="Calibri" w:eastAsia="Calibri" w:hAnsi="Calibri"/>
          <w:b w:val="false"/>
          <w:bCs w:val="false"/>
          <w:i w:val="false"/>
          <w:iCs w:val="false"/>
          <w:color w:val="0E1421"/>
          <w:sz w:val="22"/>
          <w:szCs w:val="22"/>
        </w:rPr>
        <w:t xml:space="preserve"> has the meaning set forth in Section 2.2.</w:t>
      </w:r>
    </w:p>
    <w:p>
      <w:pPr>
        <w:pStyle w:val="ListParagraph"/>
        <w:numPr>
          <w:ilvl w:val="0"/>
          <w:numId w:val="3"/>
        </w:numPr>
        <w:spacing w:after="80"/>
      </w:pPr>
      <w:r>
        <w:rPr>
          <w:rFonts w:ascii="Calibri" w:cs="Calibri" w:eastAsia="Calibri" w:hAnsi="Calibri"/>
          <w:b/>
          <w:bCs/>
          <w:i w:val="false"/>
          <w:iCs w:val="false"/>
          <w:color w:val="0E1421"/>
          <w:sz w:val="22"/>
          <w:szCs w:val="22"/>
        </w:rPr>
        <w:t xml:space="preserve">"PHI"</w:t>
      </w:r>
      <w:r>
        <w:rPr>
          <w:rFonts w:ascii="Calibri" w:cs="Calibri" w:eastAsia="Calibri" w:hAnsi="Calibri"/>
          <w:b w:val="false"/>
          <w:bCs w:val="false"/>
          <w:i w:val="false"/>
          <w:iCs w:val="false"/>
          <w:color w:val="0E1421"/>
          <w:sz w:val="22"/>
          <w:szCs w:val="22"/>
        </w:rPr>
        <w:t xml:space="preserve"> means Protected Health Information as defined in 45 CFR § 160.103.</w:t>
      </w:r>
    </w:p>
    <w:p>
      <w:pPr>
        <w:pStyle w:val="ListParagraph"/>
        <w:numPr>
          <w:ilvl w:val="0"/>
          <w:numId w:val="3"/>
        </w:numPr>
        <w:spacing w:after="80"/>
      </w:pPr>
      <w:r>
        <w:rPr>
          <w:rFonts w:ascii="Calibri" w:cs="Calibri" w:eastAsia="Calibri" w:hAnsi="Calibri"/>
          <w:b/>
          <w:bCs/>
          <w:i w:val="false"/>
          <w:iCs w:val="false"/>
          <w:color w:val="0E1421"/>
          <w:sz w:val="22"/>
          <w:szCs w:val="22"/>
        </w:rPr>
        <w:t xml:space="preserve">"Policy"</w:t>
      </w:r>
      <w:r>
        <w:rPr>
          <w:rFonts w:ascii="Calibri" w:cs="Calibri" w:eastAsia="Calibri" w:hAnsi="Calibri"/>
          <w:b w:val="false"/>
          <w:bCs w:val="false"/>
          <w:i w:val="false"/>
          <w:iCs w:val="false"/>
          <w:color w:val="0E1421"/>
          <w:sz w:val="22"/>
          <w:szCs w:val="22"/>
        </w:rPr>
        <w:t xml:space="preserve"> means this Acceptable Use Policy.</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Policy, schedules reviews, processes exception requests, and approves minor revisions in accordance with the change control process.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at each annual review. Sponsors enforcement decisions arising from material policy violations.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Conducts substantive review at the scheduled cadence and documents the review outcome in the document control table.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Authorized User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Reads and complies with this Policy. Reports suspected violations and incidents through the channels defined herein.</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qualifying trigger.</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Incident Response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Midnight</dc:creator>
  <dc:description>Policy</dc:description>
  <cp:lastModifiedBy>Un-named</cp:lastModifiedBy>
  <cp:revision>1</cp:revision>
  <dcterms:created xsi:type="dcterms:W3CDTF">2026-05-16T15:23:23.865Z</dcterms:created>
  <dcterms:modified xsi:type="dcterms:W3CDTF">2026-05-16T15:23:23.866Z</dcterms:modified>
</cp:coreProperties>
</file>

<file path=docProps/custom.xml><?xml version="1.0" encoding="utf-8"?>
<Properties xmlns="http://schemas.openxmlformats.org/officeDocument/2006/custom-properties" xmlns:vt="http://schemas.openxmlformats.org/officeDocument/2006/docPropsVTypes"/>
</file>