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/>
      </w:r>
    </w:p>
    <w:p>
      <w:pPr>
        <w:spacing w:after="80" w:before="0"/>
        <w:jc w:val="center"/>
      </w:pPr>
      <w:r>
        <w:rPr>
          <w:rFonts w:ascii="Calibri Light" w:cs="Calibri Light" w:eastAsia="Calibri Light" w:hAnsi="Calibri Light"/>
          <w:b/>
          <w:bCs/>
          <w:color w:val="8A93A6"/>
          <w:sz w:val="24"/>
          <w:szCs w:val="24"/>
        </w:rPr>
        <w:t xml:space="preserve">[LOGO: organization_logo.png]</w:t>
      </w:r>
    </w:p>
    <w:p>
      <w:pPr>
        <w:spacing w:after="1200" w:before="0"/>
        <w:jc w:val="center"/>
      </w:pPr>
      <w:r>
        <w:rPr>
          <w:rFonts w:ascii="Calibri" w:cs="Calibri" w:eastAsia="Calibri" w:hAnsi="Calibri"/>
          <w:color w:val="8A93A6"/>
          <w:sz w:val="18"/>
          <w:szCs w:val="18"/>
        </w:rPr>
        <w:t xml:space="preserve">(Reserve 2" x 2" — center)</w:t>
      </w:r>
    </w:p>
    <w:p>
      <w:pPr>
        <w:pBdr>
          <w:bottom w:val="single" w:color="00D4F5" w:sz="24" w:space="1"/>
        </w:pBdr>
        <w:spacing w:after="200" w:before="80"/>
      </w:pPr>
      <w:r>
        <w:t xml:space="preserve"/>
      </w:r>
    </w:p>
    <w:p>
      <w:pPr>
        <w:spacing w:after="100" w:before="0"/>
        <w:jc w:val="center"/>
      </w:pPr>
      <w:r>
        <w:rPr>
          <w:rFonts w:ascii="Calibri Light" w:cs="Calibri Light" w:eastAsia="Calibri Light" w:hAnsi="Calibri Light"/>
          <w:b/>
          <w:bCs/>
          <w:color w:val="0094B0"/>
          <w:spacing w:val="100"/>
          <w:sz w:val="24"/>
          <w:szCs w:val="24"/>
        </w:rPr>
        <w:t xml:space="preserve">PROCEDURE</w:t>
      </w:r>
    </w:p>
    <w:p>
      <w:pPr>
        <w:spacing w:after="200" w:before="0"/>
        <w:jc w:val="center"/>
      </w:pPr>
      <w:r>
        <w:rPr>
          <w:rFonts w:ascii="Calibri Light" w:cs="Calibri Light" w:eastAsia="Calibri Light" w:hAnsi="Calibri Light"/>
          <w:b/>
          <w:bCs/>
          <w:color w:val="0E1421"/>
          <w:sz w:val="56"/>
          <w:szCs w:val="56"/>
        </w:rPr>
        <w:t xml:space="preserve">Workforce Off-Boarding Procedure</w:t>
      </w:r>
    </w:p>
    <w:p>
      <w:pPr>
        <w:spacing w:after="600" w:before="0"/>
        <w:jc w:val="center"/>
      </w:pPr>
      <w:r>
        <w:rPr>
          <w:rFonts w:ascii="Calibri" w:cs="Calibri" w:eastAsia="Calibri" w:hAnsi="Calibri"/>
          <w:color w:val="8A93A6"/>
          <w:sz w:val="18"/>
          <w:szCs w:val="18"/>
        </w:rPr>
        <w:t xml:space="preserve">{{DOCUMENT_TITLE}}</w:t>
      </w:r>
    </w:p>
    <w:p>
      <w:pPr>
        <w:pBdr>
          <w:bottom w:val="single" w:color="00D4F5" w:sz="8" w:space="1"/>
        </w:pBdr>
        <w:spacing w:after="200" w:before="80"/>
      </w:pPr>
      <w:r>
        <w:t xml:space="preserve"/>
      </w:r>
    </w:p>
    <w:tbl>
      <w:tblPr>
        <w:tblW w:type="dxa" w:w="856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760"/>
      </w:tblGrid>
      <w:tr>
        <w:tc>
          <w:tcPr>
            <w:tcW w:type="dxa" w:w="2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E7EA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421"/>
                <w:sz w:val="22"/>
                <w:szCs w:val="22"/>
              </w:rPr>
              <w:t xml:space="preserve">Version</w:t>
            </w:r>
          </w:p>
        </w:tc>
        <w:tc>
          <w:tcPr>
            <w:tcW w:type="dxa" w:w="57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{{VERSION}}</w:t>
            </w:r>
          </w:p>
        </w:tc>
      </w:tr>
      <w:tr>
        <w:tc>
          <w:tcPr>
            <w:tcW w:type="dxa" w:w="2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E7EA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421"/>
                <w:sz w:val="22"/>
                <w:szCs w:val="22"/>
              </w:rPr>
              <w:t xml:space="preserve">Effective Date</w:t>
            </w:r>
          </w:p>
        </w:tc>
        <w:tc>
          <w:tcPr>
            <w:tcW w:type="dxa" w:w="57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{{EFFECTIVE_DATE}}</w:t>
            </w:r>
          </w:p>
        </w:tc>
      </w:tr>
      <w:tr>
        <w:tc>
          <w:tcPr>
            <w:tcW w:type="dxa" w:w="2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E7EA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421"/>
                <w:sz w:val="22"/>
                <w:szCs w:val="22"/>
              </w:rPr>
              <w:t xml:space="preserve">Owner</w:t>
            </w:r>
          </w:p>
        </w:tc>
        <w:tc>
          <w:tcPr>
            <w:tcW w:type="dxa" w:w="57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{{POLICY_OWNER}}</w:t>
            </w:r>
          </w:p>
        </w:tc>
      </w:tr>
      <w:tr>
        <w:tc>
          <w:tcPr>
            <w:tcW w:type="dxa" w:w="2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E7EA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421"/>
                <w:sz w:val="22"/>
                <w:szCs w:val="22"/>
              </w:rPr>
              <w:t xml:space="preserve">Approver</w:t>
            </w:r>
          </w:p>
        </w:tc>
        <w:tc>
          <w:tcPr>
            <w:tcW w:type="dxa" w:w="57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{{APPROVER_NAME}}, {{APPROVER_TITLE}}</w:t>
            </w:r>
          </w:p>
        </w:tc>
      </w:tr>
      <w:tr>
        <w:tc>
          <w:tcPr>
            <w:tcW w:type="dxa" w:w="2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E7EA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421"/>
                <w:sz w:val="22"/>
                <w:szCs w:val="22"/>
              </w:rPr>
              <w:t xml:space="preserve">Classification</w:t>
            </w:r>
          </w:p>
        </w:tc>
        <w:tc>
          <w:tcPr>
            <w:tcW w:type="dxa" w:w="57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{{CLASSIFICATION}}</w:t>
            </w:r>
          </w:p>
        </w:tc>
      </w:tr>
    </w:tbl>
    <w:p>
      <w:pPr>
        <w:spacing w:after="8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/>
      </w:r>
    </w:p>
    <w:p>
      <w:pPr>
        <w:spacing w:after="140" w:before="0"/>
        <w:jc w:val="center"/>
      </w:pPr>
      <w:r>
        <w:rPr>
          <w:rFonts w:ascii="Calibri Light" w:cs="Calibri Light" w:eastAsia="Calibri Light" w:hAnsi="Calibri Light"/>
          <w:b/>
          <w:bCs/>
          <w:color w:val="0094B0"/>
          <w:spacing w:val="80"/>
          <w:sz w:val="20"/>
          <w:szCs w:val="20"/>
        </w:rPr>
        <w:t xml:space="preserve">Audit-ready, never compliant.</w:t>
      </w:r>
    </w:p>
    <w:p>
      <w:r>
        <w:br w:type="page"/>
      </w:r>
    </w:p>
    <w:p>
      <w:pPr>
        <w:pStyle w:val="Heading2"/>
        <w:spacing w:after="140" w:before="240"/>
      </w:pPr>
      <w:r>
        <w:rPr>
          <w:rFonts w:ascii="Calibri Light" w:cs="Calibri Light" w:eastAsia="Calibri Light" w:hAnsi="Calibri Light"/>
          <w:b/>
          <w:bCs/>
          <w:color w:val="0E1421"/>
          <w:sz w:val="28"/>
          <w:szCs w:val="28"/>
        </w:rP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700"/>
        <w:gridCol w:w="4360"/>
        <w:gridCol w:w="2200"/>
      </w:tblGrid>
      <w:tr>
        <w:trPr>
          <w:tblHeader/>
        </w:trPr>
        <w:tc>
          <w:tcPr>
            <w:tcW w:type="dxa" w:w="11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00D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421"/>
                <w:sz w:val="22"/>
                <w:szCs w:val="22"/>
              </w:rPr>
              <w:t xml:space="preserve">Version</w:t>
            </w:r>
          </w:p>
        </w:tc>
        <w:tc>
          <w:tcPr>
            <w:tcW w:type="dxa" w:w="17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00D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421"/>
                <w:sz w:val="22"/>
                <w:szCs w:val="22"/>
              </w:rPr>
              <w:t xml:space="preserve">Date</w:t>
            </w:r>
          </w:p>
        </w:tc>
        <w:tc>
          <w:tcPr>
            <w:tcW w:type="dxa" w:w="43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00D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421"/>
                <w:sz w:val="22"/>
                <w:szCs w:val="22"/>
              </w:rPr>
              <w:t xml:space="preserve">Description of Changes</w:t>
            </w:r>
          </w:p>
        </w:tc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00D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421"/>
                <w:sz w:val="22"/>
                <w:szCs w:val="22"/>
              </w:rPr>
              <w:t xml:space="preserve">Author</w:t>
            </w:r>
          </w:p>
        </w:tc>
      </w:tr>
      <w:tr>
        <w:tc>
          <w:tcPr>
            <w:tcW w:type="dxa" w:w="11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1.0</w:t>
            </w:r>
          </w:p>
        </w:tc>
        <w:tc>
          <w:tcPr>
            <w:tcW w:type="dxa" w:w="17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{{EFFECTIVE_DATE}}</w:t>
            </w:r>
          </w:p>
        </w:tc>
        <w:tc>
          <w:tcPr>
            <w:tcW w:type="dxa" w:w="43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Initial issuance.</w:t>
            </w:r>
          </w:p>
        </w:tc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{{AUTHOR_NAME}}</w:t>
            </w:r>
          </w:p>
        </w:tc>
      </w:tr>
    </w:tbl>
    <w:p>
      <w:r>
        <w:br w:type="page"/>
      </w:r>
    </w:p>
    <w:p>
      <w:pPr>
        <w:pStyle w:val="Heading2"/>
        <w:spacing w:after="140" w:before="240"/>
      </w:pPr>
      <w:r>
        <w:rPr>
          <w:rFonts w:ascii="Calibri Light" w:cs="Calibri Light" w:eastAsia="Calibri Light" w:hAnsi="Calibri Light"/>
          <w:b/>
          <w:bCs/>
          <w:color w:val="0E1421"/>
          <w:sz w:val="28"/>
          <w:szCs w:val="28"/>
        </w:rPr>
        <w:t xml:space="preserve">Table of Contents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8A93A6"/>
          <w:sz w:val="20"/>
          <w:szCs w:val="20"/>
        </w:rPr>
        <w:t xml:space="preserve">(Right-click and select "Update Field" in Word to populate this table.)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2"/>
        <w:spacing w:after="140" w:before="240"/>
      </w:pPr>
      <w:r>
        <w:rPr>
          <w:rFonts w:ascii="Calibri Light" w:cs="Calibri Light" w:eastAsia="Calibri Light" w:hAnsi="Calibri Light"/>
          <w:b/>
          <w:bCs/>
          <w:color w:val="0E1421"/>
          <w:sz w:val="28"/>
          <w:szCs w:val="28"/>
        </w:rPr>
        <w:t xml:space="preserve">Off-Boarding Procedure — At a Glance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0E1421"/>
          <w:sz w:val="22"/>
          <w:szCs w:val="22"/>
        </w:rPr>
        <w:t xml:space="preserve">Applies to: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Every workforce separation — voluntary or involuntary, employees or contractors.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0E1421"/>
          <w:sz w:val="22"/>
          <w:szCs w:val="22"/>
        </w:rPr>
        <w:t xml:space="preserve">What it does: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Disables access, recovers assets, transfers knowledge in a defined, auditable sequence.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0E1421"/>
          <w:sz w:val="22"/>
          <w:szCs w:val="22"/>
        </w:rPr>
        <w:t xml:space="preserve">Why it matters: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Departed workforce with live access is the #1 access-control audit finding.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0E1421"/>
          <w:sz w:val="22"/>
          <w:szCs w:val="22"/>
        </w:rPr>
        <w:t xml:space="preserve">Owner: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{{POLICY_OWNER}} | Reviewed annually | Next review: {{NEXT_REVIEW_DATE}}</w:t>
      </w:r>
    </w:p>
    <w:p>
      <w:pPr>
        <w:pStyle w:val="Heading2"/>
        <w:spacing w:after="140" w:before="240"/>
      </w:pPr>
      <w:r>
        <w:rPr>
          <w:rFonts w:ascii="Calibri Light" w:cs="Calibri Light" w:eastAsia="Calibri Light" w:hAnsi="Calibri Light"/>
          <w:b/>
          <w:bCs/>
          <w:color w:val="0E1421"/>
          <w:sz w:val="28"/>
          <w:szCs w:val="28"/>
        </w:rPr>
        <w:t xml:space="preserve">The Sequence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00D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421"/>
                <w:sz w:val="22"/>
                <w:szCs w:val="22"/>
              </w:rPr>
              <w:t xml:space="preserve">When</w:t>
            </w:r>
          </w:p>
        </w:tc>
        <w:tc>
          <w:tcPr>
            <w:tcW w:type="dxa" w:w="2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00D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421"/>
                <w:sz w:val="22"/>
                <w:szCs w:val="22"/>
              </w:rPr>
              <w:t xml:space="preserve">Who</w:t>
            </w:r>
          </w:p>
        </w:tc>
        <w:tc>
          <w:tcPr>
            <w:tcW w:type="dxa" w:w="45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00D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421"/>
                <w:sz w:val="22"/>
                <w:szCs w:val="22"/>
              </w:rPr>
              <w:t xml:space="preserve">What</w:t>
            </w:r>
          </w:p>
        </w:tc>
      </w:tr>
      <w:tr>
        <w:tc>
          <w:tcPr>
            <w:tcW w:type="dxa" w:w="2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T-5 days</w:t>
            </w:r>
          </w:p>
        </w:tc>
        <w:tc>
          <w:tcPr>
            <w:tcW w:type="dxa" w:w="2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Manager + Coordinator</w:t>
            </w:r>
          </w:p>
        </w:tc>
        <w:tc>
          <w:tcPr>
            <w:tcW w:type="dxa" w:w="45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Knowledge Transfer Form completed; successors identified.</w:t>
            </w:r>
          </w:p>
        </w:tc>
      </w:tr>
      <w:tr>
        <w:tc>
          <w:tcPr>
            <w:tcW w:type="dxa" w:w="2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Final workday</w:t>
            </w:r>
          </w:p>
        </w:tc>
        <w:tc>
          <w:tcPr>
            <w:tcW w:type="dxa" w:w="2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IT + Coordinator</w:t>
            </w:r>
          </w:p>
        </w:tc>
        <w:tc>
          <w:tcPr>
            <w:tcW w:type="dxa" w:w="45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Privileged access reduced; shared resources transferred.</w:t>
            </w:r>
          </w:p>
        </w:tc>
      </w:tr>
      <w:tr>
        <w:tc>
          <w:tcPr>
            <w:tcW w:type="dxa" w:w="2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Final access end-time</w:t>
            </w:r>
          </w:p>
        </w:tc>
        <w:tc>
          <w:tcPr>
            <w:tcW w:type="dxa" w:w="2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IT</w:t>
            </w:r>
          </w:p>
        </w:tc>
        <w:tc>
          <w:tcPr>
            <w:tcW w:type="dxa" w:w="45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Account disabled in IdP within 4 business hours. Service-account credentials rotated within 24 hours.</w:t>
            </w:r>
          </w:p>
        </w:tc>
      </w:tr>
      <w:tr>
        <w:tc>
          <w:tcPr>
            <w:tcW w:type="dxa" w:w="2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T+5 days</w:t>
            </w:r>
          </w:p>
        </w:tc>
        <w:tc>
          <w:tcPr>
            <w:tcW w:type="dxa" w:w="2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Coordinator</w:t>
            </w:r>
          </w:p>
        </w:tc>
        <w:tc>
          <w:tcPr>
            <w:tcW w:type="dxa" w:w="45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Hardware recovered; endpoints wiped; MDM unenrolled.</w:t>
            </w:r>
          </w:p>
        </w:tc>
      </w:tr>
      <w:tr>
        <w:tc>
          <w:tcPr>
            <w:tcW w:type="dxa" w:w="2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T+15 days</w:t>
            </w:r>
          </w:p>
        </w:tc>
        <w:tc>
          <w:tcPr>
            <w:tcW w:type="dxa" w:w="2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Coordinator</w:t>
            </w:r>
          </w:p>
        </w:tc>
        <w:tc>
          <w:tcPr>
            <w:tcW w:type="dxa" w:w="45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Verified across IdP + 2 downstream systems. Tracker marked Complete.</w:t>
            </w:r>
          </w:p>
        </w:tc>
      </w:tr>
    </w:tbl>
    <w:p>
      <w:pPr>
        <w:pStyle w:val="Heading2"/>
        <w:spacing w:after="140" w:before="240"/>
      </w:pPr>
      <w:r>
        <w:rPr>
          <w:rFonts w:ascii="Calibri Light" w:cs="Calibri Light" w:eastAsia="Calibri Light" w:hAnsi="Calibri Light"/>
          <w:b/>
          <w:bCs/>
          <w:color w:val="0E1421"/>
          <w:sz w:val="28"/>
          <w:szCs w:val="28"/>
        </w:rPr>
        <w:t xml:space="preserve">Hard SLAs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Account disablement: 4 business hours from final access end-time.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Service-account credential rotation: 24 hours.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Hardware recovery: 5 business days post-separation.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End-to-end completion: 15 business days.</w:t>
      </w:r>
    </w:p>
    <w:p>
      <w:pPr>
        <w:pStyle w:val="Heading2"/>
        <w:spacing w:after="140" w:before="240"/>
      </w:pPr>
      <w:r>
        <w:rPr>
          <w:rFonts w:ascii="Calibri Light" w:cs="Calibri Light" w:eastAsia="Calibri Light" w:hAnsi="Calibri Light"/>
          <w:b/>
          <w:bCs/>
          <w:color w:val="0E1421"/>
          <w:sz w:val="28"/>
          <w:szCs w:val="28"/>
        </w:rPr>
        <w:t xml:space="preserve">Quality Checks</w:t>
      </w:r>
    </w:p>
    <w:p>
      <w:pPr>
        <w:spacing w:after="1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Quarterly reconciliation against HR roster. Annual sample audit by Information Security. Continuous IdP/HRIS drift detection.</w:t>
      </w:r>
    </w:p>
    <w:p>
      <w:pPr>
        <w:pStyle w:val="Heading2"/>
        <w:spacing w:after="140" w:before="240"/>
      </w:pPr>
      <w:r>
        <w:rPr>
          <w:rFonts w:ascii="Calibri Light" w:cs="Calibri Light" w:eastAsia="Calibri Light" w:hAnsi="Calibri Light"/>
          <w:b/>
          <w:bCs/>
          <w:color w:val="0E1421"/>
          <w:sz w:val="28"/>
          <w:szCs w:val="28"/>
        </w:rPr>
        <w:t xml:space="preserve">Escalation</w:t>
      </w:r>
    </w:p>
    <w:p>
      <w:pPr>
        <w:spacing w:after="1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Step blocked or late: {{POLICY_OWNER}}. No progress in 24 hours: {{APPROVER_NAME}}. Suspected misconduct or unrecovered access: treat as a security incident (Incident Response Plan).</w:t>
      </w:r>
    </w:p>
    <w:p>
      <w:pPr>
        <w:pStyle w:val="Heading2"/>
        <w:spacing w:after="140" w:before="240"/>
      </w:pPr>
      <w:r>
        <w:rPr>
          <w:rFonts w:ascii="Calibri Light" w:cs="Calibri Light" w:eastAsia="Calibri Light" w:hAnsi="Calibri Light"/>
          <w:b/>
          <w:bCs/>
          <w:color w:val="0E1421"/>
          <w:sz w:val="28"/>
          <w:szCs w:val="28"/>
        </w:rPr>
        <w:t xml:space="preserve">Roles and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00D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421"/>
                <w:sz w:val="22"/>
                <w:szCs w:val="22"/>
              </w:rPr>
              <w:t xml:space="preserve">Role</w:t>
            </w:r>
          </w:p>
        </w:tc>
        <w:tc>
          <w:tcPr>
            <w:tcW w:type="dxa" w:w="61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00D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421"/>
                <w:sz w:val="22"/>
                <w:szCs w:val="22"/>
              </w:rPr>
              <w:t xml:space="preserve">Responsibilities</w:t>
            </w:r>
          </w:p>
        </w:tc>
      </w:tr>
      <w:tr>
        <w:tc>
          <w:tcPr>
            <w:tcW w:type="dxa" w:w="3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Procedure Owner ({{POLICY_OWNER}})</w:t>
            </w:r>
          </w:p>
        </w:tc>
        <w:tc>
          <w:tcPr>
            <w:tcW w:type="dxa" w:w="61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Maintains this Procedure, schedules reviews, and approves material changes to the steps.</w:t>
            </w:r>
          </w:p>
        </w:tc>
      </w:tr>
      <w:tr>
        <w:tc>
          <w:tcPr>
            <w:tcW w:type="dxa" w:w="3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Approver ({{APPROVER_NAME}}, {{APPROVER_TITLE}})</w:t>
            </w:r>
          </w:p>
        </w:tc>
        <w:tc>
          <w:tcPr>
            <w:tcW w:type="dxa" w:w="61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Provides executive approval at issuance and annual review.</w:t>
            </w:r>
          </w:p>
        </w:tc>
      </w:tr>
      <w:tr>
        <w:tc>
          <w:tcPr>
            <w:tcW w:type="dxa" w:w="3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Off-Boarding Coordinator</w:t>
            </w:r>
          </w:p>
        </w:tc>
        <w:tc>
          <w:tcPr>
            <w:tcW w:type="dxa" w:w="61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Executes the steps in Section 4 for each separating workforce member; documents completion in the Off-Boarding Tracker.</w:t>
            </w:r>
          </w:p>
        </w:tc>
      </w:tr>
      <w:tr>
        <w:tc>
          <w:tcPr>
            <w:tcW w:type="dxa" w:w="3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Hiring Manager</w:t>
            </w:r>
          </w:p>
        </w:tc>
        <w:tc>
          <w:tcPr>
            <w:tcW w:type="dxa" w:w="61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Notifies HR of separation; identifies access transfer recipients; participates in knowledge transfer.</w:t>
            </w:r>
          </w:p>
        </w:tc>
      </w:tr>
      <w:tr>
        <w:tc>
          <w:tcPr>
            <w:tcW w:type="dxa" w:w="3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IT / Identity Operator</w:t>
            </w:r>
          </w:p>
        </w:tc>
        <w:tc>
          <w:tcPr>
            <w:tcW w:type="dxa" w:w="61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Disables access, recovers credentials and devices, completes the technical steps within the SLA.</w:t>
            </w:r>
          </w:p>
        </w:tc>
      </w:tr>
    </w:tbl>
    <w:p>
      <w:pPr>
        <w:pStyle w:val="Heading2"/>
        <w:spacing w:after="140" w:before="240"/>
      </w:pPr>
      <w:r>
        <w:rPr>
          <w:rFonts w:ascii="Calibri Light" w:cs="Calibri Light" w:eastAsia="Calibri Light" w:hAnsi="Calibri Light"/>
          <w:b/>
          <w:bCs/>
          <w:color w:val="0E1421"/>
          <w:sz w:val="28"/>
          <w:szCs w:val="28"/>
        </w:rPr>
        <w:t xml:space="preserve">Review and Maintenance</w:t>
      </w:r>
    </w:p>
    <w:p>
      <w:pPr>
        <w:spacing w:after="14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0E1421"/>
          <w:sz w:val="22"/>
          <w:szCs w:val="22"/>
        </w:rPr>
        <w:t xml:space="preserve">Next review date: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{{NEXT_REVIEW_DATE}}</w:t>
      </w:r>
    </w:p>
    <w:p>
      <w:pPr>
        <w:spacing w:after="14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0E1421"/>
          <w:sz w:val="22"/>
          <w:szCs w:val="22"/>
        </w:rPr>
        <w:t xml:space="preserve">Review frequency: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Annually, or upon a material change in process, identity provider, or HRIS.</w:t>
      </w:r>
    </w:p>
    <w:p>
      <w:pPr>
        <w:spacing w:after="14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0E1421"/>
          <w:sz w:val="22"/>
          <w:szCs w:val="22"/>
        </w:rPr>
        <w:t xml:space="preserve">Review triggers: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A material change in applicable laws, regulations, or contractual obligations.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Findings from an internal or external audit that affect this document.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A security or privacy incident that exposes a gap in the document.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An organizational change (acquisition, divestiture, new business line) that affects scope.</w:t>
      </w:r>
    </w:p>
    <w:p>
      <w:pPr>
        <w:pStyle w:val="Heading2"/>
        <w:spacing w:after="140" w:before="240"/>
      </w:pPr>
      <w:r>
        <w:rPr>
          <w:rFonts w:ascii="Calibri Light" w:cs="Calibri Light" w:eastAsia="Calibri Light" w:hAnsi="Calibri Light"/>
          <w:b/>
          <w:bCs/>
          <w:color w:val="0E1421"/>
          <w:sz w:val="28"/>
          <w:szCs w:val="28"/>
        </w:rPr>
        <w:t xml:space="preserve">Related Documents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Access Control Policy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Acceptable Use Policy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Information Security Policy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Asset Management Policy</w:t>
      </w:r>
    </w:p>
    <w:p>
      <w:pPr>
        <w:pStyle w:val="Heading2"/>
        <w:spacing w:after="140" w:before="240"/>
      </w:pPr>
      <w:r>
        <w:rPr>
          <w:rFonts w:ascii="Calibri Light" w:cs="Calibri Light" w:eastAsia="Calibri Light" w:hAnsi="Calibri Light"/>
          <w:b/>
          <w:bCs/>
          <w:color w:val="0E1421"/>
          <w:sz w:val="28"/>
          <w:szCs w:val="28"/>
        </w:rPr>
        <w:t xml:space="preserve">Approval Signatures</w:t>
      </w:r>
    </w:p>
    <w:p>
      <w:pPr>
        <w:spacing w:after="1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This document becomes effective upon execution by both signatories below.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Calibri Light" w:cs="Calibri Light" w:eastAsia="Calibri Light" w:hAnsi="Calibri Light"/>
          <w:b/>
          <w:bCs/>
          <w:color w:val="3A4453"/>
          <w:sz w:val="24"/>
          <w:szCs w:val="24"/>
        </w:rPr>
        <w:t xml:space="preserve">Policy Owner</w:t>
      </w:r>
    </w:p>
    <w:p>
      <w:pPr>
        <w:spacing w:after="1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Approved by: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________________________________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FFFF"/>
          <w:sz w:val="2"/>
          <w:szCs w:val="2"/>
        </w:rPr>
        <w:t xml:space="preserve">\sig1\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{{POLICY_OWNER}}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FFFF"/>
          <w:sz w:val="2"/>
          <w:szCs w:val="2"/>
        </w:rPr>
        <w:t xml:space="preserve">\name1\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{{POLICY_OWNER_TITLE}}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FFFF"/>
          <w:sz w:val="2"/>
          <w:szCs w:val="2"/>
        </w:rPr>
        <w:t xml:space="preserve">\title1\</w:t>
      </w:r>
    </w:p>
    <w:p>
      <w:pPr>
        <w:spacing w:after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Date: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____________________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FFFF"/>
          <w:sz w:val="2"/>
          <w:szCs w:val="2"/>
        </w:rPr>
        <w:t xml:space="preserve">\date1\</w:t>
      </w:r>
    </w:p>
    <w:p>
      <w:pPr>
        <w:pStyle w:val="Heading3"/>
        <w:spacing w:after="100" w:before="200"/>
      </w:pPr>
      <w:r>
        <w:rPr>
          <w:rFonts w:ascii="Calibri Light" w:cs="Calibri Light" w:eastAsia="Calibri Light" w:hAnsi="Calibri Light"/>
          <w:b/>
          <w:bCs/>
          <w:color w:val="3A4453"/>
          <w:sz w:val="24"/>
          <w:szCs w:val="24"/>
        </w:rPr>
        <w:t xml:space="preserve">Approver</w:t>
      </w:r>
    </w:p>
    <w:p>
      <w:pPr>
        <w:spacing w:after="1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Approved by: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________________________________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FFFF"/>
          <w:sz w:val="2"/>
          <w:szCs w:val="2"/>
        </w:rPr>
        <w:t xml:space="preserve">\sig2\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{{APPROVER_NAME}}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FFFF"/>
          <w:sz w:val="2"/>
          <w:szCs w:val="2"/>
        </w:rPr>
        <w:t xml:space="preserve">\name2\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{{APPROVER_TITLE}}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FFFF"/>
          <w:sz w:val="2"/>
          <w:szCs w:val="2"/>
        </w:rPr>
        <w:t xml:space="preserve">\title2\</w:t>
      </w:r>
    </w:p>
    <w:p>
      <w:pPr>
        <w:spacing w:after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Date: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____________________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FFFF"/>
          <w:sz w:val="2"/>
          <w:szCs w:val="2"/>
        </w:rPr>
        <w:t xml:space="preserve">\date2\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0080"/>
      </w:tabs>
    </w:pPr>
    <w:r>
      <w:rPr>
        <w:rFonts w:ascii="Calibri Light" w:cs="Calibri Light" w:eastAsia="Calibri Light" w:hAnsi="Calibri Light"/>
        <w:color w:val="0094B0"/>
        <w:spacing w:val="60"/>
        <w:sz w:val="16"/>
        <w:szCs w:val="16"/>
      </w:rPr>
      <w:t xml:space="preserve">Audit-ready, never compliant.</w:t>
    </w:r>
    <w:r>
      <w:t xml:space="preserve">	</w:t>
    </w:r>
    <w:r>
      <w:rPr>
        <w:rFonts w:ascii="Calibri" w:cs="Calibri" w:eastAsia="Calibri" w:hAnsi="Calibri"/>
        <w:color w:val="8A93A6"/>
        <w:sz w:val="16"/>
        <w:szCs w:val="16"/>
      </w:rPr>
      <w:t xml:space="preserve">Page </w:t>
    </w:r>
    <w:r>
      <w:rPr>
        <w:rFonts w:ascii="Calibri" w:cs="Calibri" w:eastAsia="Calibri" w:hAnsi="Calibri"/>
        <w:color w:val="8A93A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A93A6"/>
        <w:sz w:val="16"/>
        <w:szCs w:val="16"/>
      </w:rPr>
      <w:t xml:space="preserve"> of </w:t>
    </w:r>
    <w:r>
      <w:rPr>
        <w:rFonts w:ascii="Calibri" w:cs="Calibri" w:eastAsia="Calibri" w:hAnsi="Calibri"/>
        <w:color w:val="8A93A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D4F5" w:sz="6" w:space="4"/>
      </w:pBdr>
      <w:tabs>
        <w:tab w:val="right" w:pos="10080"/>
      </w:tabs>
    </w:pPr>
    <w:r>
      <w:rPr>
        <w:rFonts w:ascii="Calibri Light" w:cs="Calibri Light" w:eastAsia="Calibri Light" w:hAnsi="Calibri Light"/>
        <w:color w:val="0094B0"/>
        <w:spacing w:val="30"/>
        <w:sz w:val="18"/>
        <w:szCs w:val="18"/>
      </w:rPr>
      <w:t>{{TITLE}}</w:t>
    </w:r>
    <w:r>
      <w:t xml:space="preserve">	</w:t>
    </w:r>
    <w:r>
      <w:rPr>
        <w:rFonts w:ascii="Calibri" w:cs="Calibri" w:eastAsia="Calibri" w:hAnsi="Calibri"/>
        <w:color w:val="8A93A6"/>
        <w:sz w:val="16"/>
        <w:szCs w:val="16"/>
      </w:rPr>
      <w:t xml:space="preserve">{{CLASSIFICATION}}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  <w:lvl w:ilvl="1" w15:tentative="1">
      <w:start w:val="1"/>
      <w:numFmt w:val="bullet"/>
      <w:lvlText w:val="◦"/>
      <w:lvlJc w:val="left"/>
      <w:pPr>
        <w:ind w:left="10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  <w:lvl w:ilvl="1" w15:tentative="1">
      <w:start w:val="1"/>
      <w:numFmt w:val="lowerLetter"/>
      <w:lvlText w:val="%2."/>
      <w:lvlJc w:val="left"/>
      <w:pPr>
        <w:ind w:left="10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E14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Calibri Light" w:cs="Calibri Light" w:eastAsia="Calibri Light" w:hAnsi="Calibri Light"/>
      <w:b/>
      <w:bCs/>
      <w:color w:val="0E142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Calibri Light" w:cs="Calibri Light" w:eastAsia="Calibri Light" w:hAnsi="Calibri Light"/>
      <w:b/>
      <w:bCs/>
      <w:color w:val="0E142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 Light" w:cs="Calibri Light" w:eastAsia="Calibri Light" w:hAnsi="Calibri Light"/>
      <w:b/>
      <w:bCs/>
      <w:color w:val="3A4453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Workforce Off-Boarding Procedure</dc:title>
  <dc:creator>Midnight</dc:creator>
  <dc:description>Procedure</dc:description>
  <cp:lastModifiedBy>Un-named</cp:lastModifiedBy>
  <cp:revision>1</cp:revision>
  <dcterms:created xsi:type="dcterms:W3CDTF">2026-05-16T15:33:49.940Z</dcterms:created>
  <dcterms:modified xsi:type="dcterms:W3CDTF">2026-05-16T15:33:49.940Z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