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/>
      </w:r>
    </w:p>
    <w:p>
      <w:pPr>
        <w:spacing w:after="80" w:before="0"/>
        <w:jc w:val="center"/>
      </w:pPr>
      <w:r>
        <w:rPr>
          <w:rFonts w:ascii="Calibri Light" w:cs="Calibri Light" w:eastAsia="Calibri Light" w:hAnsi="Calibri Light"/>
          <w:b/>
          <w:bCs/>
          <w:color w:val="8A93A6"/>
          <w:sz w:val="24"/>
          <w:szCs w:val="24"/>
        </w:rPr>
        <w:t xml:space="preserve">[LOGO: organization_logo.png]</w:t>
      </w:r>
    </w:p>
    <w:p>
      <w:pPr>
        <w:spacing w:after="1200" w:before="0"/>
        <w:jc w:val="center"/>
      </w:pPr>
      <w:r>
        <w:rPr>
          <w:rFonts w:ascii="Calibri" w:cs="Calibri" w:eastAsia="Calibri" w:hAnsi="Calibri"/>
          <w:color w:val="8A93A6"/>
          <w:sz w:val="18"/>
          <w:szCs w:val="18"/>
        </w:rPr>
        <w:t xml:space="preserve">(Reserve 2" x 2" — center)</w:t>
      </w:r>
    </w:p>
    <w:p>
      <w:pPr>
        <w:pBdr>
          <w:bottom w:val="single" w:color="00D4F5" w:sz="24" w:space="1"/>
        </w:pBdr>
        <w:spacing w:after="200" w:before="80"/>
      </w:pPr>
      <w:r>
        <w:t xml:space="preserve"/>
      </w:r>
    </w:p>
    <w:p>
      <w:pPr>
        <w:spacing w:after="100" w:before="0"/>
        <w:jc w:val="center"/>
      </w:pPr>
      <w:r>
        <w:rPr>
          <w:rFonts w:ascii="Calibri Light" w:cs="Calibri Light" w:eastAsia="Calibri Light" w:hAnsi="Calibri Light"/>
          <w:b/>
          <w:bCs/>
          <w:color w:val="0094B0"/>
          <w:spacing w:val="100"/>
          <w:sz w:val="24"/>
          <w:szCs w:val="24"/>
        </w:rPr>
        <w:t xml:space="preserve">STANDARD</w:t>
      </w:r>
    </w:p>
    <w:p>
      <w:pPr>
        <w:spacing w:after="200" w:before="0"/>
        <w:jc w:val="center"/>
      </w:pPr>
      <w:r>
        <w:rPr>
          <w:rFonts w:ascii="Calibri Light" w:cs="Calibri Light" w:eastAsia="Calibri Light" w:hAnsi="Calibri Light"/>
          <w:b/>
          <w:bCs/>
          <w:color w:val="0E1421"/>
          <w:sz w:val="56"/>
          <w:szCs w:val="56"/>
        </w:rPr>
        <w:t xml:space="preserve">Encryption Standard</w:t>
      </w:r>
    </w:p>
    <w:p>
      <w:pPr>
        <w:spacing w:after="600" w:before="0"/>
        <w:jc w:val="center"/>
      </w:pPr>
      <w:r>
        <w:rPr>
          <w:rFonts w:ascii="Calibri" w:cs="Calibri" w:eastAsia="Calibri" w:hAnsi="Calibri"/>
          <w:color w:val="8A93A6"/>
          <w:sz w:val="18"/>
          <w:szCs w:val="18"/>
        </w:rPr>
        <w:t xml:space="preserve">{{DOCUMENT_TITLE}}</w:t>
      </w:r>
    </w:p>
    <w:p>
      <w:pPr>
        <w:pBdr>
          <w:bottom w:val="single" w:color="00D4F5" w:sz="8" w:space="1"/>
        </w:pBdr>
        <w:spacing w:after="200" w:before="80"/>
      </w:pPr>
      <w:r>
        <w:t xml:space="preserve"/>
      </w:r>
    </w:p>
    <w:tbl>
      <w:tblPr>
        <w:tblW w:type="dxa" w:w="856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5760"/>
      </w:tblGrid>
      <w:tr>
        <w:tc>
          <w:tcPr>
            <w:tcW w:type="dxa" w:w="2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E7EA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Version</w:t>
            </w:r>
          </w:p>
        </w:tc>
        <w:tc>
          <w:tcPr>
            <w:tcW w:type="dxa" w:w="57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{{VERSION}}</w:t>
            </w:r>
          </w:p>
        </w:tc>
      </w:tr>
      <w:tr>
        <w:tc>
          <w:tcPr>
            <w:tcW w:type="dxa" w:w="2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E7EA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Effective Date</w:t>
            </w:r>
          </w:p>
        </w:tc>
        <w:tc>
          <w:tcPr>
            <w:tcW w:type="dxa" w:w="57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{{EFFECTIVE_DATE}}</w:t>
            </w:r>
          </w:p>
        </w:tc>
      </w:tr>
      <w:tr>
        <w:tc>
          <w:tcPr>
            <w:tcW w:type="dxa" w:w="2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E7EA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Owner</w:t>
            </w:r>
          </w:p>
        </w:tc>
        <w:tc>
          <w:tcPr>
            <w:tcW w:type="dxa" w:w="57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{{POLICY_OWNER}}</w:t>
            </w:r>
          </w:p>
        </w:tc>
      </w:tr>
      <w:tr>
        <w:tc>
          <w:tcPr>
            <w:tcW w:type="dxa" w:w="2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E7EA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Approver</w:t>
            </w:r>
          </w:p>
        </w:tc>
        <w:tc>
          <w:tcPr>
            <w:tcW w:type="dxa" w:w="57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{{APPROVER_NAME}}, {{APPROVER_TITLE}}</w:t>
            </w:r>
          </w:p>
        </w:tc>
      </w:tr>
      <w:tr>
        <w:tc>
          <w:tcPr>
            <w:tcW w:type="dxa" w:w="2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E7EA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Classification</w:t>
            </w:r>
          </w:p>
        </w:tc>
        <w:tc>
          <w:tcPr>
            <w:tcW w:type="dxa" w:w="57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{{CLASSIFICATION}}</w:t>
            </w:r>
          </w:p>
        </w:tc>
      </w:tr>
    </w:tbl>
    <w:p>
      <w:pPr>
        <w:spacing w:after="8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/>
      </w:r>
    </w:p>
    <w:p>
      <w:pPr>
        <w:spacing w:after="140" w:before="0"/>
        <w:jc w:val="center"/>
      </w:pPr>
      <w:r>
        <w:rPr>
          <w:rFonts w:ascii="Calibri Light" w:cs="Calibri Light" w:eastAsia="Calibri Light" w:hAnsi="Calibri Light"/>
          <w:b/>
          <w:bCs/>
          <w:color w:val="0094B0"/>
          <w:spacing w:val="80"/>
          <w:sz w:val="20"/>
          <w:szCs w:val="20"/>
        </w:rPr>
        <w:t xml:space="preserve">Audit-ready, never compliant.</w:t>
      </w:r>
    </w:p>
    <w:p>
      <w:r>
        <w:br w:type="page"/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700"/>
        <w:gridCol w:w="4360"/>
        <w:gridCol w:w="2200"/>
      </w:tblGrid>
      <w:tr>
        <w:trPr>
          <w:tblHeader/>
        </w:trPr>
        <w:tc>
          <w:tcPr>
            <w:tcW w:type="dxa" w:w="11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Version</w:t>
            </w:r>
          </w:p>
        </w:tc>
        <w:tc>
          <w:tcPr>
            <w:tcW w:type="dxa" w:w="17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Date</w:t>
            </w:r>
          </w:p>
        </w:tc>
        <w:tc>
          <w:tcPr>
            <w:tcW w:type="dxa" w:w="43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Description of Changes</w:t>
            </w:r>
          </w:p>
        </w:tc>
        <w:tc>
          <w:tcPr>
            <w:tcW w:type="dxa" w:w="2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Author</w:t>
            </w:r>
          </w:p>
        </w:tc>
      </w:tr>
      <w:tr>
        <w:tc>
          <w:tcPr>
            <w:tcW w:type="dxa" w:w="11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1.0</w:t>
            </w:r>
          </w:p>
        </w:tc>
        <w:tc>
          <w:tcPr>
            <w:tcW w:type="dxa" w:w="17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{{EFFECTIVE_DATE}}</w:t>
            </w:r>
          </w:p>
        </w:tc>
        <w:tc>
          <w:tcPr>
            <w:tcW w:type="dxa" w:w="43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Initial issuance.</w:t>
            </w:r>
          </w:p>
        </w:tc>
        <w:tc>
          <w:tcPr>
            <w:tcW w:type="dxa" w:w="2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{{AUTHOR_NAME}}</w:t>
            </w:r>
          </w:p>
        </w:tc>
      </w:tr>
    </w:tbl>
    <w:p>
      <w:r>
        <w:br w:type="page"/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Table of Contents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8A93A6"/>
          <w:sz w:val="20"/>
          <w:szCs w:val="20"/>
        </w:rPr>
        <w:t xml:space="preserve">(Right-click and select "Update Field" in Word to populate this table.)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Encryption Standard — At a Glance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0E1421"/>
          <w:sz w:val="22"/>
          <w:szCs w:val="22"/>
        </w:rPr>
        <w:t xml:space="preserve">Applies to: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All Restricted and Confidential data, at rest and in transit, across all systems we own or vendor on our behalf.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0E1421"/>
          <w:sz w:val="22"/>
          <w:szCs w:val="22"/>
        </w:rPr>
        <w:t xml:space="preserve">What it does: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Defines approved cryptographic algorithms, key management requirements, and TLS standards.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0E1421"/>
          <w:sz w:val="22"/>
          <w:szCs w:val="22"/>
        </w:rPr>
        <w:t xml:space="preserve">Why it matters: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Encryption posture is one of the first ten things every auditor asks about.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0E1421"/>
          <w:sz w:val="22"/>
          <w:szCs w:val="22"/>
        </w:rPr>
        <w:t xml:space="preserve">Owner: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{{POLICY_OWNER}} | Reviewed annually | Next review: {{NEXT_REVIEW_DATE}}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Use This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2360"/>
      </w:tblGrid>
      <w:tr>
        <w:trPr>
          <w:tblHeader/>
        </w:trPr>
        <w:tc>
          <w:tcPr>
            <w:tcW w:type="dxa" w:w="30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Where</w:t>
            </w:r>
          </w:p>
        </w:tc>
        <w:tc>
          <w:tcPr>
            <w:tcW w:type="dxa" w:w="40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Use</w:t>
            </w:r>
          </w:p>
        </w:tc>
        <w:tc>
          <w:tcPr>
            <w:tcW w:type="dxa" w:w="23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Min Strength</w:t>
            </w:r>
          </w:p>
        </w:tc>
      </w:tr>
      <w:tr>
        <w:tc>
          <w:tcPr>
            <w:tcW w:type="dxa" w:w="30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At rest</w:t>
            </w:r>
          </w:p>
        </w:tc>
        <w:tc>
          <w:tcPr>
            <w:tcW w:type="dxa" w:w="40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AES-GCM</w:t>
            </w:r>
          </w:p>
        </w:tc>
        <w:tc>
          <w:tcPr>
            <w:tcW w:type="dxa" w:w="23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256-bit key</w:t>
            </w:r>
          </w:p>
        </w:tc>
      </w:tr>
      <w:tr>
        <w:tc>
          <w:tcPr>
            <w:tcW w:type="dxa" w:w="30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In transit (external)</w:t>
            </w:r>
          </w:p>
        </w:tc>
        <w:tc>
          <w:tcPr>
            <w:tcW w:type="dxa" w:w="40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TLS 1.2+ (TLS 1.3 preferred)</w:t>
            </w:r>
          </w:p>
        </w:tc>
        <w:tc>
          <w:tcPr>
            <w:tcW w:type="dxa" w:w="23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PFS suites only</w:t>
            </w:r>
          </w:p>
        </w:tc>
      </w:tr>
      <w:tr>
        <w:tc>
          <w:tcPr>
            <w:tcW w:type="dxa" w:w="30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In transit (internal, Restricted)</w:t>
            </w:r>
          </w:p>
        </w:tc>
        <w:tc>
          <w:tcPr>
            <w:tcW w:type="dxa" w:w="40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mTLS</w:t>
            </w:r>
          </w:p>
        </w:tc>
        <w:tc>
          <w:tcPr>
            <w:tcW w:type="dxa" w:w="23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256-bit key</w:t>
            </w:r>
          </w:p>
        </w:tc>
      </w:tr>
      <w:tr>
        <w:tc>
          <w:tcPr>
            <w:tcW w:type="dxa" w:w="30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Passwords</w:t>
            </w:r>
          </w:p>
        </w:tc>
        <w:tc>
          <w:tcPr>
            <w:tcW w:type="dxa" w:w="40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Argon2id</w:t>
            </w:r>
          </w:p>
        </w:tc>
        <w:tc>
          <w:tcPr>
            <w:tcW w:type="dxa" w:w="23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Per spec</w:t>
            </w:r>
          </w:p>
        </w:tc>
      </w:tr>
      <w:tr>
        <w:tc>
          <w:tcPr>
            <w:tcW w:type="dxa" w:w="30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Public-key</w:t>
            </w:r>
          </w:p>
        </w:tc>
        <w:tc>
          <w:tcPr>
            <w:tcW w:type="dxa" w:w="40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RSA-PSS, ECDSA P-256+, or Ed25519</w:t>
            </w:r>
          </w:p>
        </w:tc>
        <w:tc>
          <w:tcPr>
            <w:tcW w:type="dxa" w:w="23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RSA 2048 / ECC 256</w:t>
            </w:r>
          </w:p>
        </w:tc>
      </w:tr>
    </w:tbl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Not This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MD5, SHA-1, DES, 3DES, RC4. TLS 1.0, TLS 1.1, any SSL. Hard-coded keys. Any algorithm with a published cryptanalytic break.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Keys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Production keys in KMS or HSM. Never in source, configs, or env vars on unmanaged hosts.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Rotate annually (Restricted) or every two years (Confidential). Faster on suspected compromise.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Multi-factor authentication required for any key admin operation.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Destruction is logged. Cryptographic erasure (delete the key) is an approved disposal method.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Verification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Annual Information Security review. Per-change review at change management. Findings tracked in the Cryptographic Findings Register with assigned owners and SLAs.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Exceptions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Submit to {{POLICY_OWNER}}. Decision in ten business days. Prohibited-algorithm exceptions require {{APPROVER_NAME}} approval. Max duration twelve months. Tracked in the Exception Register.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Roles and Responsibilities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Role</w:t>
            </w:r>
          </w:p>
        </w:tc>
        <w:tc>
          <w:tcPr>
            <w:tcW w:type="dxa" w:w="6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Responsibilities</w:t>
            </w:r>
          </w:p>
        </w:tc>
      </w:tr>
      <w:tr>
        <w:tc>
          <w:tcPr>
            <w:tcW w:type="dxa" w:w="3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Standard Owner ({{POLICY_OWNER}})</w:t>
            </w:r>
          </w:p>
        </w:tc>
        <w:tc>
          <w:tcPr>
            <w:tcW w:type="dxa" w:w="6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Maintains this Standard, schedules reviews, processes exception requests, and reviews cryptographic library advisories.</w:t>
            </w:r>
          </w:p>
        </w:tc>
      </w:tr>
      <w:tr>
        <w:tc>
          <w:tcPr>
            <w:tcW w:type="dxa" w:w="3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Approver ({{APPROVER_NAME}}, {{APPROVER_TITLE}})</w:t>
            </w:r>
          </w:p>
        </w:tc>
        <w:tc>
          <w:tcPr>
            <w:tcW w:type="dxa" w:w="6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Provides executive approval at issuance and at each annual review.</w:t>
            </w:r>
          </w:p>
        </w:tc>
      </w:tr>
      <w:tr>
        <w:tc>
          <w:tcPr>
            <w:tcW w:type="dxa" w:w="3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Implementation Lead</w:t>
            </w:r>
          </w:p>
        </w:tc>
        <w:tc>
          <w:tcPr>
            <w:tcW w:type="dxa" w:w="6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Validates that the technical requirements of this Standard are implemented in production systems within the timeframes specified.</w:t>
            </w:r>
          </w:p>
        </w:tc>
      </w:tr>
      <w:tr>
        <w:tc>
          <w:tcPr>
            <w:tcW w:type="dxa" w:w="3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End User / System Operator</w:t>
            </w:r>
          </w:p>
        </w:tc>
        <w:tc>
          <w:tcPr>
            <w:tcW w:type="dxa" w:w="6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Operates within the Standard. Reports cryptographic incidents and approved-algorithm exceptions through documented channels.</w:t>
            </w:r>
          </w:p>
        </w:tc>
      </w:tr>
    </w:tbl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Review and Maintenance</w:t>
      </w:r>
    </w:p>
    <w:p>
      <w:pP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E1421"/>
          <w:sz w:val="22"/>
          <w:szCs w:val="22"/>
        </w:rPr>
        <w:t xml:space="preserve">Next review date: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{{NEXT_REVIEW_DATE}}</w:t>
      </w:r>
    </w:p>
    <w:p>
      <w:pP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E1421"/>
          <w:sz w:val="22"/>
          <w:szCs w:val="22"/>
        </w:rPr>
        <w:t xml:space="preserve">Review frequency: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Annually, or upon a qualifying trigger (cryptographic library deprecation, algorithm advisory, audit finding).</w:t>
      </w:r>
    </w:p>
    <w:p>
      <w:pP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E1421"/>
          <w:sz w:val="22"/>
          <w:szCs w:val="22"/>
        </w:rPr>
        <w:t xml:space="preserve">Review triggers: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 material change in applicable laws, regulations, or contractual obligations.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Findings from an internal or external audit that affect this document.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 security or privacy incident that exposes a gap in the document.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An organizational change (acquisition, divestiture, new business line) that affects scope.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Related Documents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Information Security Policy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Access Control Policy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Data Classification Policy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Key Management Procedure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Approval Signatures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This document becomes effective upon execution by both signatories below.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/>
      </w:r>
    </w:p>
    <w:p>
      <w:pPr>
        <w:pStyle w:val="Heading3"/>
        <w:spacing w:after="100" w:before="200"/>
      </w:pPr>
      <w:r>
        <w:rPr>
          <w:rFonts w:ascii="Calibri Light" w:cs="Calibri Light" w:eastAsia="Calibri Light" w:hAnsi="Calibri Light"/>
          <w:b/>
          <w:bCs/>
          <w:color w:val="3A4453"/>
          <w:sz w:val="24"/>
          <w:szCs w:val="24"/>
        </w:rPr>
        <w:t xml:space="preserve">Policy Owner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Approved by: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________________________________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\sig1\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{{POLICY_OWNER}}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\name1\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{{POLICY_OWNER_TITLE}}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\title1\</w:t>
      </w:r>
    </w:p>
    <w:p>
      <w:pPr>
        <w:spacing w:after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Date: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____________________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\date1\</w:t>
      </w:r>
    </w:p>
    <w:p>
      <w:pPr>
        <w:pStyle w:val="Heading3"/>
        <w:spacing w:after="100" w:before="200"/>
      </w:pPr>
      <w:r>
        <w:rPr>
          <w:rFonts w:ascii="Calibri Light" w:cs="Calibri Light" w:eastAsia="Calibri Light" w:hAnsi="Calibri Light"/>
          <w:b/>
          <w:bCs/>
          <w:color w:val="3A4453"/>
          <w:sz w:val="24"/>
          <w:szCs w:val="24"/>
        </w:rPr>
        <w:t xml:space="preserve">Approver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Approved by: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________________________________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\sig2\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{{APPROVER_NAME}}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\name2\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{{APPROVER_TITLE}}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\title2\</w:t>
      </w:r>
    </w:p>
    <w:p>
      <w:pPr>
        <w:spacing w:after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Date: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____________________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\date2\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 Light" w:cs="Calibri Light" w:eastAsia="Calibri Light" w:hAnsi="Calibri Light"/>
        <w:color w:val="0094B0"/>
        <w:spacing w:val="60"/>
        <w:sz w:val="16"/>
        <w:szCs w:val="16"/>
      </w:rPr>
      <w:t xml:space="preserve">Audit-ready, never compliant.</w:t>
    </w:r>
    <w:r>
      <w:t xml:space="preserve">	</w:t>
    </w:r>
    <w:r>
      <w:rPr>
        <w:rFonts w:ascii="Calibri" w:cs="Calibri" w:eastAsia="Calibri" w:hAnsi="Calibri"/>
        <w:color w:val="8A93A6"/>
        <w:sz w:val="16"/>
        <w:szCs w:val="16"/>
      </w:rPr>
      <w:t xml:space="preserve">Page </w:t>
    </w:r>
    <w:r>
      <w:rPr>
        <w:rFonts w:ascii="Calibri" w:cs="Calibri" w:eastAsia="Calibri" w:hAnsi="Calibri"/>
        <w:color w:val="8A93A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8A93A6"/>
        <w:sz w:val="16"/>
        <w:szCs w:val="16"/>
      </w:rPr>
      <w:t xml:space="preserve"> of </w:t>
    </w:r>
    <w:r>
      <w:rPr>
        <w:rFonts w:ascii="Calibri" w:cs="Calibri" w:eastAsia="Calibri" w:hAnsi="Calibri"/>
        <w:color w:val="8A93A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D4F5" w:sz="6" w:space="4"/>
      </w:pBdr>
      <w:tabs>
        <w:tab w:val="right" w:pos="10080"/>
      </w:tabs>
    </w:pPr>
    <w:r>
      <w:rPr>
        <w:rFonts w:ascii="Calibri Light" w:cs="Calibri Light" w:eastAsia="Calibri Light" w:hAnsi="Calibri Light"/>
        <w:color w:val="0094B0"/>
        <w:spacing w:val="30"/>
        <w:sz w:val="18"/>
        <w:szCs w:val="18"/>
      </w:rPr>
      <w:t>{{TITLE}}</w:t>
    </w:r>
    <w:r>
      <w:t xml:space="preserve">	</w:t>
    </w:r>
    <w:r>
      <w:rPr>
        <w:rFonts w:ascii="Calibri" w:cs="Calibri" w:eastAsia="Calibri" w:hAnsi="Calibri"/>
        <w:color w:val="8A93A6"/>
        <w:sz w:val="16"/>
        <w:szCs w:val="16"/>
      </w:rPr>
      <w:t xml:space="preserve">{{CLASSIFICATION}}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  <w:lvl w:ilvl="1" w15:tentative="1">
      <w:start w:val="1"/>
      <w:numFmt w:val="bullet"/>
      <w:lvlText w:val="◦"/>
      <w:lvlJc w:val="left"/>
      <w:pPr>
        <w:ind w:left="108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  <w:lvl w:ilvl="1" w15:tentative="1">
      <w:start w:val="1"/>
      <w:numFmt w:val="lowerLetter"/>
      <w:lvlText w:val="%2."/>
      <w:lvlJc w:val="left"/>
      <w:pPr>
        <w:ind w:left="10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E1421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20"/>
      <w:outlineLvl w:val="0"/>
    </w:pPr>
    <w:rPr>
      <w:rFonts w:ascii="Calibri Light" w:cs="Calibri Light" w:eastAsia="Calibri Light" w:hAnsi="Calibri Light"/>
      <w:b/>
      <w:bCs/>
      <w:color w:val="0E1421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240"/>
      <w:outlineLvl w:val="1"/>
    </w:pPr>
    <w:rPr>
      <w:rFonts w:ascii="Calibri Light" w:cs="Calibri Light" w:eastAsia="Calibri Light" w:hAnsi="Calibri Light"/>
      <w:b/>
      <w:bCs/>
      <w:color w:val="0E1421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 Light" w:cs="Calibri Light" w:eastAsia="Calibri Light" w:hAnsi="Calibri Light"/>
      <w:b/>
      <w:bCs/>
      <w:color w:val="3A4453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Encryption Standard</dc:title>
  <dc:creator>Midnight</dc:creator>
  <dc:description>Standard</dc:description>
  <cp:lastModifiedBy>Un-named</cp:lastModifiedBy>
  <cp:revision>1</cp:revision>
  <dcterms:created xsi:type="dcterms:W3CDTF">2026-05-16T15:31:39.936Z</dcterms:created>
  <dcterms:modified xsi:type="dcterms:W3CDTF">2026-05-16T15:31:39.936Z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