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VP66601990-06-1000370-6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Taylor Buck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80386 389 Julie Tunnel</w:t>
        <w:br/>
        <w:t>Archerbury, NM 93610 Martinez Locks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2823255997,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