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0"/>
          <w:szCs w:val="40"/>
        </w:rPr>
        <w:t xml:space="preserve">WorkedWith</w:t>
      </w:r>
    </w:p>
    <w:p>
      <w:pPr>
        <w:spacing w:after="40"/>
      </w:pPr>
      <w:r>
        <w:rPr>
          <w:color w:val="6B7280"/>
          <w:sz w:val="26"/>
          <w:szCs w:val="26"/>
        </w:rPr>
        <w:t xml:space="preserve">Product Requirements Document</w:t>
      </w:r>
    </w:p>
    <w:p>
      <w:pPr>
        <w:spacing w:after="40"/>
      </w:pPr>
      <w:r>
        <w:rPr>
          <w:b/>
          <w:bCs/>
          <w:color w:val="2563EB"/>
          <w:sz w:val="26"/>
          <w:szCs w:val="26"/>
        </w:rPr>
        <w:t xml:space="preserve">Version 3.4</w:t>
      </w:r>
    </w:p>
    <w:p>
      <w:pPr>
        <w:spacing w:after="20"/>
      </w:pPr>
      <w:r>
        <w:rPr>
          <w:color w:val="6B7280"/>
          <w:sz w:val="20"/>
          <w:szCs w:val="20"/>
        </w:rPr>
        <w:t xml:space="preserve">September 2026</w:t>
      </w:r>
    </w:p>
    <w:p>
      <w:pPr>
        <w:spacing w:after="300"/>
      </w:pPr>
      <w:r>
        <w:rPr>
          <w:i/>
          <w:iCs/>
          <w:color w:val="6B7280"/>
          <w:sz w:val="20"/>
          <w:szCs w:val="20"/>
        </w:rPr>
        <w:t xml:space="preserve">workedwith.co.uk</w:t>
      </w:r>
    </w:p>
    <w:p>
      <w:pPr>
        <w:pBdr>
          <w:bottom w:val="single" w:color="CBD5E1" w:sz="6" w:space="1"/>
        </w:pBdr>
        <w:spacing w:after="200"/>
      </w:pPr>
    </w:p>
    <w:p>
      <w:pPr>
        <w:spacing w:after="160"/>
      </w:pPr>
      <w:r>
        <w:rPr>
          <w:i/>
          <w:iCs/>
          <w:color w:val="6B7280"/>
          <w:sz w:val="20"/>
          <w:szCs w:val="20"/>
        </w:rPr>
        <w:t xml:space="preserve">This version supersedes v3.3. It introduces Admin-Seeded Trade Profiles — manually curated, unclaimed directory listings that accelerate directory density ahead of organic sign-up — along with the claim flow, reminder cadence, retention rules, and the density-based visibility logic that governs when seeded and demo listings appear in search. Section 11 lists the full changelog.</w:t>
      </w:r>
    </w:p>
    <w:p>
      <w:pPr>
        <w:pStyle w:val="Heading1"/>
        <w:spacing w:after="160" w:before="360"/>
      </w:pPr>
      <w:r>
        <w:t xml:space="preserve">1. Product Overview</w:t>
      </w:r>
    </w:p>
    <w:p>
      <w:pPr>
        <w:spacing w:after="160"/>
      </w:pPr>
      <w:r>
        <w:t xml:space="preserve">WorkedWith is a trust and reputation platform for the UK trades industry. It is the only platform where both tradespeople and clients build verified reputations through mutual, blind review submission tied to confirmed real jobs.</w:t>
      </w:r>
    </w:p>
    <w:p>
      <w:pPr>
        <w:spacing w:after="160"/>
      </w:pPr>
      <w:r>
        <w:t xml:space="preserve">WorkedWith is a reputation layer — not a job booking or management platform. It sits on top of existing working relationships and provides the trust infrastructure that the trades industry currently lacks.</w:t>
      </w:r>
    </w:p>
    <w:p>
      <w:pPr>
        <w:pStyle w:val="Heading2"/>
        <w:spacing w:after="120" w:before="260"/>
      </w:pPr>
      <w:r>
        <w:t xml:space="preserve">1.1 Core Proposition</w:t>
      </w:r>
    </w:p>
    <w:p>
      <w:pPr>
        <w:spacing w:after="160"/>
      </w:pPr>
      <w:r>
        <w:t xml:space="preserve">Every other platform in this space reviews tradespeople and leaves clients completely unaccountable. WorkedWith is different: both parties have a reputation to protect before work begins.</w:t>
      </w:r>
    </w:p>
    <w:p>
      <w:pPr>
        <w:pStyle w:val="Heading2"/>
        <w:spacing w:after="120" w:before="260"/>
      </w:pPr>
      <w:r>
        <w:t xml:space="preserve">1.2 Positioning: Self-Selection as the First Filter</w:t>
      </w:r>
    </w:p>
    <w:p>
      <w:pPr>
        <w:spacing w:after="160"/>
      </w:pPr>
      <w:r>
        <w:t xml:space="preserve">WorkedWith does not claim to catch every rogue operator before a job takes place — no reputation system can, since accountability only attaches once a job is confirmed. What it does claim is narrower and more defensible: only tradespeople who are already invested in protecting their reputation choose to be on the platform at all. A tradesperson who has no intention of doing good work, or who is happy to disappear when things go wrong, has no reason to join a system built on mutual, permanent, verifiable review — they lose nothing by staying off it and continuing to operate on channels with no accountability.</w:t>
      </w:r>
    </w:p>
    <w:p>
      <w:pPr>
        <w:spacing w:after="160"/>
      </w:pPr>
      <w:r>
        <w:t xml:space="preserve">This reframes participation itself as a signal. The platform's value to a client is not “every tradesperson here has been vetted” — it is “everyone here chose to be accountable, and that choice is itself informative.” This should be reflected directly in client-facing marketing copy (e.g. “If they're not on WorkedWith, ask why”) rather than left as an implicit benefit.</w:t>
      </w:r>
    </w:p>
    <w:p>
      <w:pPr>
        <w:spacing w:after="160"/>
      </w:pPr>
      <w:r>
        <w:rPr>
          <w:b/>
          <w:bCs/>
        </w:rPr>
        <w:t xml:space="preserve">Note (v3.4): </w:t>
      </w:r>
      <w:r>
        <w:t xml:space="preserve">Admin-Seeded Trade Profiles (see 2.7) introduce listings the trade did not choose to create. This does not weaken the self-selection principle, provided the distinction stays visible — a seeded listing must never be presented, styled, or ranked as though it were a participating profile. See 2.7 and 9 for the rules that keep this boundary intact.</w:t>
      </w:r>
    </w:p>
    <w:p>
      <w:pPr>
        <w:pStyle w:val="Heading2"/>
        <w:spacing w:after="120" w:before="260"/>
      </w:pPr>
      <w:r>
        <w:t xml:space="preserve">1.3 Tagline</w:t>
      </w:r>
    </w:p>
    <w:p>
      <w:pPr>
        <w:spacing w:after="160"/>
      </w:pPr>
      <w:r>
        <w:t xml:space="preserve">“Know who you're working with.”</w:t>
      </w:r>
    </w:p>
    <w:p>
      <w:pPr>
        <w:pStyle w:val="Heading2"/>
        <w:spacing w:after="120" w:before="260"/>
      </w:pPr>
      <w:r>
        <w:t xml:space="preserve">1.4 What WorkedWith Is Not</w:t>
      </w:r>
    </w:p>
    <w:p>
      <w:pPr>
        <w:pStyle w:val="ListParagraph"/>
        <w:numPr>
          <w:ilvl w:val="0"/>
          <w:numId w:val="2"/>
        </w:numPr>
        <w:spacing w:after="80"/>
      </w:pPr>
      <w:r>
        <w:t xml:space="preserve">Not a job booking or scheduling platform</w:t>
      </w:r>
    </w:p>
    <w:p>
      <w:pPr>
        <w:pStyle w:val="ListParagraph"/>
        <w:numPr>
          <w:ilvl w:val="0"/>
          <w:numId w:val="2"/>
        </w:numPr>
        <w:spacing w:after="80"/>
      </w:pPr>
      <w:r>
        <w:t xml:space="preserve">Not a lead generation or quoting platform</w:t>
      </w:r>
    </w:p>
    <w:p>
      <w:pPr>
        <w:pStyle w:val="ListParagraph"/>
        <w:numPr>
          <w:ilvl w:val="0"/>
          <w:numId w:val="2"/>
        </w:numPr>
        <w:spacing w:after="80"/>
      </w:pPr>
      <w:r>
        <w:t xml:space="preserve">Not an invoicing or payment processing platform</w:t>
      </w:r>
    </w:p>
    <w:p>
      <w:pPr>
        <w:pStyle w:val="ListParagraph"/>
        <w:numPr>
          <w:ilvl w:val="0"/>
          <w:numId w:val="2"/>
        </w:numPr>
        <w:spacing w:after="80"/>
      </w:pPr>
      <w:r>
        <w:t xml:space="preserve">Not a messaging or communication platform</w:t>
      </w:r>
    </w:p>
    <w:p>
      <w:pPr>
        <w:spacing w:after="160"/>
      </w:pPr>
      <w:r>
        <w:t xml:space="preserve">Jobs are arranged, quoted, and managed entirely outside the platform through whatever means the tradesperson and client normally use. The job record on WorkedWith is a confirmation that two parties worked together — the anchor for the mutual review, not a booking.</w:t>
      </w:r>
    </w:p>
    <w:p>
      <w:pPr>
        <w:pStyle w:val="Heading1"/>
        <w:spacing w:after="160" w:before="360"/>
      </w:pPr>
      <w:r>
        <w:t xml:space="preserve">2. Platform Architecture</w:t>
      </w:r>
    </w:p>
    <w:p>
      <w:pPr>
        <w:pStyle w:val="Heading2"/>
        <w:spacing w:after="120" w:before="260"/>
      </w:pPr>
      <w:r>
        <w:t xml:space="preserve">2.1 Two-Sided Model</w:t>
      </w:r>
    </w:p>
    <w:p>
      <w:pPr>
        <w:spacing w:after="160"/>
      </w:pPr>
      <w:r>
        <w:t xml:space="preserve">WorkedWith serves two distinct user types with different needs and different product experiences.</w:t>
      </w:r>
    </w:p>
    <w:p>
      <w:pPr>
        <w:pStyle w:val="Heading3"/>
        <w:spacing w:after="100" w:before="200"/>
      </w:pPr>
      <w:r>
        <w:t xml:space="preserve">Tradespeople</w:t>
      </w:r>
    </w:p>
    <w:p>
      <w:pPr>
        <w:pStyle w:val="ListParagraph"/>
        <w:numPr>
          <w:ilvl w:val="0"/>
          <w:numId w:val="2"/>
        </w:numPr>
        <w:spacing w:after="80"/>
      </w:pPr>
      <w:r>
        <w:t xml:space="preserve">Build a verified work history tied to real confirmed jobs</w:t>
      </w:r>
    </w:p>
    <w:p>
      <w:pPr>
        <w:pStyle w:val="ListParagraph"/>
        <w:numPr>
          <w:ilvl w:val="0"/>
          <w:numId w:val="2"/>
        </w:numPr>
        <w:spacing w:after="80"/>
      </w:pPr>
      <w:r>
        <w:t xml:space="preserve">Vet clients before committing to a quote</w:t>
      </w:r>
    </w:p>
    <w:p>
      <w:pPr>
        <w:pStyle w:val="ListParagraph"/>
        <w:numPr>
          <w:ilvl w:val="0"/>
          <w:numId w:val="2"/>
        </w:numPr>
        <w:spacing w:after="80"/>
      </w:pPr>
      <w:r>
        <w:t xml:space="preserve">Appear in client search results (Standard and Pro)</w:t>
      </w:r>
    </w:p>
    <w:p>
      <w:pPr>
        <w:pStyle w:val="ListParagraph"/>
        <w:numPr>
          <w:ilvl w:val="0"/>
          <w:numId w:val="2"/>
        </w:numPr>
        <w:spacing w:after="80"/>
      </w:pPr>
      <w:r>
        <w:t xml:space="preserve">Respond publicly to reviews</w:t>
      </w:r>
    </w:p>
    <w:p>
      <w:pPr>
        <w:pStyle w:val="ListParagraph"/>
        <w:numPr>
          <w:ilvl w:val="0"/>
          <w:numId w:val="2"/>
        </w:numPr>
        <w:spacing w:after="80"/>
      </w:pPr>
      <w:r>
        <w:t xml:space="preserve">Upload featured job images (Standard and Pro)</w:t>
      </w:r>
    </w:p>
    <w:p>
      <w:pPr>
        <w:pStyle w:val="ListParagraph"/>
        <w:numPr>
          <w:ilvl w:val="0"/>
          <w:numId w:val="2"/>
        </w:numPr>
        <w:spacing w:after="80"/>
      </w:pPr>
      <w:r>
        <w:t xml:space="preserve">Access profile analytics (Pro)</w:t>
      </w:r>
    </w:p>
    <w:p>
      <w:pPr>
        <w:pStyle w:val="Heading3"/>
        <w:spacing w:after="100" w:before="200"/>
      </w:pPr>
      <w:r>
        <w:t xml:space="preserve">Clients</w:t>
      </w:r>
    </w:p>
    <w:p>
      <w:pPr>
        <w:pStyle w:val="ListParagraph"/>
        <w:numPr>
          <w:ilvl w:val="0"/>
          <w:numId w:val="2"/>
        </w:numPr>
        <w:spacing w:after="80"/>
      </w:pPr>
      <w:r>
        <w:t xml:space="preserve">Find verified tradespeople in their area by trade type and postcode district</w:t>
      </w:r>
    </w:p>
    <w:p>
      <w:pPr>
        <w:pStyle w:val="ListParagraph"/>
        <w:numPr>
          <w:ilvl w:val="0"/>
          <w:numId w:val="2"/>
        </w:numPr>
        <w:spacing w:after="80"/>
      </w:pPr>
      <w:r>
        <w:t xml:space="preserve">Build a client reputation that makes the best tradespeople want to work with them</w:t>
      </w:r>
    </w:p>
    <w:p>
      <w:pPr>
        <w:pStyle w:val="ListParagraph"/>
        <w:numPr>
          <w:ilvl w:val="0"/>
          <w:numId w:val="2"/>
        </w:numPr>
        <w:spacing w:after="80"/>
      </w:pPr>
      <w:r>
        <w:t xml:space="preserve">Confirm jobs and leave mutual verified reviews</w:t>
      </w:r>
    </w:p>
    <w:p>
      <w:pPr>
        <w:pStyle w:val="ListParagraph"/>
        <w:numPr>
          <w:ilvl w:val="0"/>
          <w:numId w:val="2"/>
        </w:numPr>
        <w:spacing w:after="80"/>
      </w:pPr>
      <w:r>
        <w:t xml:space="preserve">Free to use permanently — no subscription ever</w:t>
      </w:r>
    </w:p>
    <w:p>
      <w:pPr>
        <w:pStyle w:val="Heading2"/>
        <w:spacing w:after="120" w:before="260"/>
      </w:pPr>
      <w:r>
        <w:t xml:space="preserve">2.2 The Pre-Commitment Model</w:t>
      </w:r>
    </w:p>
    <w:p>
      <w:pPr>
        <w:spacing w:after="160"/>
      </w:pPr>
      <w:r>
        <w:t xml:space="preserve">Reviews can only be submitted once a job has been confirmed by both parties. This prevents fake reviews from accounts with no real relationship. The sequence is:</w:t>
      </w:r>
    </w:p>
    <w:p>
      <w:pPr>
        <w:pStyle w:val="ListParagraph"/>
        <w:numPr>
          <w:ilvl w:val="0"/>
          <w:numId w:val="2"/>
        </w:numPr>
        <w:spacing w:after="80"/>
      </w:pPr>
      <w:r>
        <w:t xml:space="preserve">Tradesperson logs the job and invites the client to confirm</w:t>
      </w:r>
    </w:p>
    <w:p>
      <w:pPr>
        <w:pStyle w:val="ListParagraph"/>
        <w:numPr>
          <w:ilvl w:val="0"/>
          <w:numId w:val="2"/>
        </w:numPr>
        <w:spacing w:after="80"/>
      </w:pPr>
      <w:r>
        <w:t xml:space="preserve">Client confirms the job took place</w:t>
      </w:r>
    </w:p>
    <w:p>
      <w:pPr>
        <w:pStyle w:val="ListParagraph"/>
        <w:numPr>
          <w:ilvl w:val="0"/>
          <w:numId w:val="2"/>
        </w:numPr>
        <w:spacing w:after="80"/>
      </w:pPr>
      <w:r>
        <w:t xml:space="preserve">Both parties submit their reviews privately (blind submission)</w:t>
      </w:r>
    </w:p>
    <w:p>
      <w:pPr>
        <w:pStyle w:val="ListParagraph"/>
        <w:numPr>
          <w:ilvl w:val="0"/>
          <w:numId w:val="2"/>
        </w:numPr>
        <w:spacing w:after="80"/>
      </w:pPr>
      <w:r>
        <w:t xml:space="preserve">Reviews publish simultaneously after the blind window closes</w:t>
      </w:r>
    </w:p>
    <w:p>
      <w:pPr>
        <w:pStyle w:val="Heading2"/>
        <w:spacing w:after="120" w:before="260"/>
      </w:pPr>
      <w:r>
        <w:t xml:space="preserve">2.3 Blind Review Submission</w:t>
      </w:r>
    </w:p>
    <w:p>
      <w:pPr>
        <w:spacing w:after="160"/>
      </w:pPr>
      <w:r>
        <w:t xml:space="preserve">Once a job is confirmed, both parties submit their reviews privately. Neither party can see what the other has written. Reviews are held for 7 days. After 7 days:</w:t>
      </w:r>
    </w:p>
    <w:p>
      <w:pPr>
        <w:pStyle w:val="ListParagraph"/>
        <w:numPr>
          <w:ilvl w:val="0"/>
          <w:numId w:val="2"/>
        </w:numPr>
        <w:spacing w:after="80"/>
      </w:pPr>
      <w:r>
        <w:t xml:space="preserve">If both reviews are submitted: both publish simultaneously</w:t>
      </w:r>
    </w:p>
    <w:p>
      <w:pPr>
        <w:pStyle w:val="ListParagraph"/>
        <w:numPr>
          <w:ilvl w:val="0"/>
          <w:numId w:val="2"/>
        </w:numPr>
        <w:spacing w:after="80"/>
      </w:pPr>
      <w:r>
        <w:t xml:space="preserve">If only one review is submitted: the submitted review publishes automatically</w:t>
      </w:r>
    </w:p>
    <w:p>
      <w:pPr>
        <w:pStyle w:val="ListParagraph"/>
        <w:numPr>
          <w:ilvl w:val="0"/>
          <w:numId w:val="2"/>
        </w:numPr>
        <w:spacing w:after="80"/>
      </w:pPr>
      <w:r>
        <w:t xml:space="preserve">If neither review is submitted within 30 days: the review window closes permanently</w:t>
      </w:r>
    </w:p>
    <w:p>
      <w:pPr>
        <w:spacing w:after="160"/>
      </w:pPr>
      <w:r>
        <w:t xml:space="preserve">The 7-day blind window eliminates the retaliation dynamic that makes reviews on every other platform strategically gamed. The auto-publish rule closes the loophole where bad actors suppress unfavourable reviews by simply not submitting their own.</w:t>
      </w:r>
    </w:p>
    <w:p>
      <w:pPr>
        <w:pStyle w:val="Heading2"/>
        <w:spacing w:after="120" w:before="260"/>
      </w:pPr>
      <w:r>
        <w:t xml:space="preserve">2.4 Backdated Job Flow</w:t>
      </w:r>
    </w:p>
    <w:p>
      <w:pPr>
        <w:spacing w:after="160"/>
      </w:pPr>
      <w:r>
        <w:t xml:space="preserve">New users do not start from zero. Tradespeople and clients can log past jobs and invite the other party to confirm them retroactively. This is the cold-start engine: a tradesperson who has been working for 10 years can arrive on WorkedWith with a full verified history on day one.</w:t>
      </w:r>
    </w:p>
    <w:p>
      <w:pPr>
        <w:pStyle w:val="Heading2"/>
        <w:spacing w:after="120" w:before="260"/>
      </w:pPr>
      <w:r>
        <w:t xml:space="preserve">2.5 Client-Initiated Invites (Unregistered Tradespeople)</w:t>
      </w:r>
    </w:p>
    <w:p>
      <w:pPr>
        <w:spacing w:after="160"/>
      </w:pPr>
      <w:r>
        <w:t xml:space="preserve">The backdated job flow above assumes the inviting party already has a WorkedWith account and is inviting someone else to confirm. A related but distinct case is a client wanting to log a job with a tradesperson who is not on WorkedWith at all yet. This is handled by the Client-Initiated Job Invite flow (see 4.7), which lets a client submit a job confirmation request directly to a tradesperson's phone and/or email, without a pre-existing trade profile to attach it to. Nothing is published or made public until the tradesperson verifies and claims the invite — this preserves the platform's core principle that no review or profile content exists without verified two-sided confirmation.</w:t>
      </w:r>
    </w:p>
    <w:p>
      <w:pPr>
        <w:pStyle w:val="Heading2"/>
        <w:spacing w:after="120" w:before="260"/>
      </w:pPr>
      <w:r>
        <w:t xml:space="preserve">2.6 Operating Areas &amp; Location Mechanics</w:t>
      </w:r>
    </w:p>
    <w:p>
      <w:pPr>
        <w:spacing w:after="160"/>
      </w:pPr>
      <w:r>
        <w:t xml:space="preserve">Location matching runs on UK postcode districts (the outward code — e.g. M20, WA14, LL57) rather than a fixed-radius search from a single postcode. A radius model breaks down in practice: a 30-mile circle around a tradesperson's registered postcode routinely includes areas they don't actually cover and excludes ones they do, and it gives clients no sense of whether a match is genuinely local or just within a wide, arbitrary catchment.</w:t>
      </w:r>
    </w:p>
    <w:p>
      <w:pPr>
        <w:spacing w:after="160"/>
      </w:pPr>
      <w:r>
        <w:t xml:space="preserve">Every tradesperson selects an Operating Areas list of up to 20 postcode districts — the same limit and the same mechanic regardless of subscription tier. This is a basic-discoverability feature, not a paid one: gating it by tier would work against the principle that Free is a genuinely functional tier, not a crippled preview (see 8).</w:t>
      </w:r>
    </w:p>
    <w:p>
      <w:pPr>
        <w:spacing w:after="160"/>
      </w:pPr>
      <w:r>
        <w:t xml:space="preserve">District selection is presented as a searchable multi-select — type a place name or postcode and the correct district is resolved and added (e.g. typing “Didsbury” resolves to M20). Districts are grouped by town/city in the picker for browsability, and the resolved list is displayed on the tradesperson's public profile (e.g. “Operating in: M20, M21, M14”) so the claim itself is visible and checkable by anyone who views the profile.</w:t>
      </w:r>
    </w:p>
    <w:p>
      <w:pPr>
        <w:spacing w:after="160"/>
      </w:pPr>
      <w:r>
        <w:t xml:space="preserve">Client search works the same way in reverse: a client enters their postcode, it resolves to a district, and results are matched against tradespeople who have that district in their Operating Areas. There is no separate radius step — district match is the entire matching logic (see 3 on Haversine removal).</w:t>
      </w:r>
    </w:p>
    <w:p>
      <w:pPr>
        <w:pStyle w:val="Heading2"/>
        <w:spacing w:after="120" w:before="260"/>
      </w:pPr>
      <w:r>
        <w:rPr>
          <w:b/>
          <w:bCs/>
          <w:color w:val="2563EB"/>
          <w:sz w:val="25"/>
          <w:szCs w:val="25"/>
        </w:rPr>
        <w:t xml:space="preserve">2.7 Admin-Seeded Trade Profiles</w:t>
      </w:r>
      <w:r>
        <w:rPr>
          <w:b/>
          <w:bCs/>
          <w:color w:val="2563EB"/>
          <w:sz w:val="18"/>
          <w:szCs w:val="18"/>
        </w:rPr>
        <w:t xml:space="preserve">  NEW</w:t>
      </w:r>
    </w:p>
    <w:p>
      <w:pPr>
        <w:spacing w:after="160"/>
      </w:pPr>
      <w:r>
        <w:t xml:space="preserve">Organic sign-up alone is slow to build the directory density a client needs to trust a search result (see 8, “Local density before national scale”). To accelerate this without compromising the self-selection principle (1.2), an admin can manually create a profile for a tradesperson who has not yet joined WorkedWith, sourced from publicly available local listings the admin judges credible (e.g. Google Business listings, local trade directories, word of mouth).</w:t>
      </w:r>
    </w:p>
    <w:p>
      <w:pPr>
        <w:spacing w:after="160"/>
      </w:pPr>
      <w:r>
        <w:t xml:space="preserve">This is a deliberately manual, judgement-led process — not an automated scrape or bulk import. The admin only seeds a listing for a business they believe is genuinely worth including, which keeps the seeded set closer in quality to organic sign-ups than a raw directory dump would be.</w:t>
      </w:r>
    </w:p>
    <w:p>
      <w:pPr>
        <w:pStyle w:val="Heading3"/>
        <w:spacing w:after="100" w:before="200"/>
      </w:pPr>
      <w:r>
        <w:t xml:space="preserve">What a seeded profile is, and is not</w:t>
      </w:r>
    </w:p>
    <w:p>
      <w:pPr>
        <w:pStyle w:val="ListParagraph"/>
        <w:numPr>
          <w:ilvl w:val="0"/>
          <w:numId w:val="2"/>
        </w:numPr>
        <w:spacing w:after="80"/>
      </w:pPr>
      <w:r>
        <w:t xml:space="preserve">A seeded profile carries only factual, publicly sourced information: business/trade name, trade category, operating district(s), and a public contact method if available (phone and/or email). No reviews, no rating, no job history — there is nothing to display because no job has been confirmed and no review pair exists</w:t>
      </w:r>
    </w:p>
    <w:p>
      <w:pPr>
        <w:pStyle w:val="ListParagraph"/>
        <w:numPr>
          <w:ilvl w:val="0"/>
          <w:numId w:val="2"/>
        </w:numPr>
        <w:spacing w:after="80"/>
      </w:pPr>
      <w:r>
        <w:t xml:space="preserve">A seeded profile is never styled, ranked, or labelled as though it were a participating profile. It carries a persistent, unmissable “Not yet on WorkedWith” label wherever it appears — on its own page and in any search result that includes it</w:t>
      </w:r>
    </w:p>
    <w:p>
      <w:pPr>
        <w:pStyle w:val="ListParagraph"/>
        <w:numPr>
          <w:ilvl w:val="0"/>
          <w:numId w:val="2"/>
        </w:numPr>
        <w:spacing w:after="80"/>
      </w:pPr>
      <w:r>
        <w:t xml:space="preserve">A seeded profile can never be boosted, cannot carry the Verified or Pro badge, and is permanently excluded from Operating Areas / Boosted Districts ranking logic — there is no subscription behind it to grant any of these</w:t>
      </w:r>
    </w:p>
    <w:p>
      <w:pPr>
        <w:pStyle w:val="ListParagraph"/>
        <w:numPr>
          <w:ilvl w:val="0"/>
          <w:numId w:val="2"/>
        </w:numPr>
        <w:spacing w:after="80"/>
      </w:pPr>
      <w:r>
        <w:t xml:space="preserve">A seeded profile's page is real and permanently indexable (a database record at /t/[slug], not a static page) — this is what lets it work as an SEO entry point, distinct from the fictional Demo Content profiles in section 9, which remain static, non-claimable pages</w:t>
      </w:r>
    </w:p>
    <w:p>
      <w:pPr>
        <w:pStyle w:val="Heading3"/>
        <w:spacing w:after="100" w:before="200"/>
      </w:pPr>
      <w:r>
        <w:t xml:space="preserve">Why this doesn't undermine 1.2 (Self-Selection as the First Filter)</w:t>
      </w:r>
    </w:p>
    <w:p>
      <w:pPr>
        <w:spacing w:after="160"/>
      </w:pPr>
      <w:r>
        <w:t xml:space="preserve">The self-selection claim is about what a live, participating profile signals — not about what pages exist at all. As long as a seeded profile is clearly and permanently marked as unclaimed everywhere it appears, a client can never mistake “this business hasn't joined” for “this business chose to be accountable.” The visibility rules in section 9 exist specifically to stop seeded listings from diluting real search results once a district has enough genuine participants.</w:t>
      </w:r>
    </w:p>
    <w:p>
      <w:pPr>
        <w:pStyle w:val="Heading1"/>
        <w:spacing w:after="160" w:before="360"/>
      </w:pPr>
      <w:r>
        <w:t xml:space="preserve">3. Technical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rPr>
          <w:tblHeader/>
        </w:trPr>
        <w:tc>
          <w:tcPr>
            <w:tcW w:type="dxa" w:w="2400"/>
            <w:shd w:fill="1F2937" w:val="clear"/>
            <w:tcMar>
              <w:top w:type="dxa" w:w="80"/>
              <w:left w:type="dxa" w:w="120"/>
              <w:bottom w:type="dxa" w:w="80"/>
              <w:right w:type="dxa" w:w="120"/>
            </w:tcMar>
          </w:tcPr>
          <w:p>
            <w:r>
              <w:rPr>
                <w:b/>
                <w:bCs/>
                <w:color w:val="FFFFFF"/>
                <w:sz w:val="20"/>
                <w:szCs w:val="20"/>
              </w:rPr>
              <w:t xml:space="preserve">Component</w:t>
            </w:r>
          </w:p>
        </w:tc>
        <w:tc>
          <w:tcPr>
            <w:tcW w:type="dxa" w:w="2600"/>
            <w:shd w:fill="1F2937" w:val="clear"/>
            <w:tcMar>
              <w:top w:type="dxa" w:w="80"/>
              <w:left w:type="dxa" w:w="120"/>
              <w:bottom w:type="dxa" w:w="80"/>
              <w:right w:type="dxa" w:w="120"/>
            </w:tcMar>
          </w:tcPr>
          <w:p>
            <w:r>
              <w:rPr>
                <w:b/>
                <w:bCs/>
                <w:color w:val="FFFFFF"/>
                <w:sz w:val="20"/>
                <w:szCs w:val="20"/>
              </w:rPr>
              <w:t xml:space="preserve">Technology</w:t>
            </w:r>
          </w:p>
        </w:tc>
        <w:tc>
          <w:tcPr>
            <w:tcW w:type="dxa" w:w="4600"/>
            <w:shd w:fill="1F2937" w:val="clear"/>
            <w:tcMar>
              <w:top w:type="dxa" w:w="80"/>
              <w:left w:type="dxa" w:w="120"/>
              <w:bottom w:type="dxa" w:w="80"/>
              <w:right w:type="dxa" w:w="120"/>
            </w:tcMar>
          </w:tcPr>
          <w:p>
            <w:r>
              <w:rPr>
                <w:b/>
                <w:bCs/>
                <w:color w:val="FFFFFF"/>
                <w:sz w:val="20"/>
                <w:szCs w:val="20"/>
              </w:rPr>
              <w:t xml:space="preserve">Notes</w:t>
            </w:r>
          </w:p>
        </w:tc>
      </w:tr>
      <w:tr>
        <w:tc>
          <w:tcPr>
            <w:tcW w:type="dxa" w:w="2400"/>
            <w:tcMar>
              <w:top w:type="dxa" w:w="80"/>
              <w:left w:type="dxa" w:w="120"/>
              <w:bottom w:type="dxa" w:w="80"/>
              <w:right w:type="dxa" w:w="120"/>
            </w:tcMar>
          </w:tcPr>
          <w:p>
            <w:r>
              <w:rPr>
                <w:b w:val="false"/>
                <w:bCs w:val="false"/>
                <w:color w:val="111111"/>
                <w:sz w:val="20"/>
                <w:szCs w:val="20"/>
              </w:rPr>
              <w:t xml:space="preserve">Framework</w:t>
            </w:r>
          </w:p>
        </w:tc>
        <w:tc>
          <w:tcPr>
            <w:tcW w:type="dxa" w:w="2600"/>
            <w:tcMar>
              <w:top w:type="dxa" w:w="80"/>
              <w:left w:type="dxa" w:w="120"/>
              <w:bottom w:type="dxa" w:w="80"/>
              <w:right w:type="dxa" w:w="120"/>
            </w:tcMar>
          </w:tcPr>
          <w:p>
            <w:r>
              <w:rPr>
                <w:b w:val="false"/>
                <w:bCs w:val="false"/>
                <w:color w:val="111111"/>
                <w:sz w:val="20"/>
                <w:szCs w:val="20"/>
              </w:rPr>
              <w:t xml:space="preserve">Next.js 14 (App Router)</w:t>
            </w:r>
          </w:p>
        </w:tc>
        <w:tc>
          <w:tcPr>
            <w:tcW w:type="dxa" w:w="4600"/>
            <w:tcMar>
              <w:top w:type="dxa" w:w="80"/>
              <w:left w:type="dxa" w:w="120"/>
              <w:bottom w:type="dxa" w:w="80"/>
              <w:right w:type="dxa" w:w="120"/>
            </w:tcMar>
          </w:tcPr>
          <w:p>
            <w:r>
              <w:rPr>
                <w:b w:val="false"/>
                <w:bCs w:val="false"/>
                <w:color w:val="111111"/>
                <w:sz w:val="20"/>
                <w:szCs w:val="20"/>
              </w:rPr>
              <w:t xml:space="preserve">TypeScript throughout</w:t>
            </w:r>
          </w:p>
        </w:tc>
      </w:tr>
      <w:tr>
        <w:tc>
          <w:tcPr>
            <w:tcW w:type="dxa" w:w="2400"/>
            <w:shd w:fill="F8FAFC" w:val="clear"/>
            <w:tcMar>
              <w:top w:type="dxa" w:w="80"/>
              <w:left w:type="dxa" w:w="120"/>
              <w:bottom w:type="dxa" w:w="80"/>
              <w:right w:type="dxa" w:w="120"/>
            </w:tcMar>
          </w:tcPr>
          <w:p>
            <w:r>
              <w:rPr>
                <w:b w:val="false"/>
                <w:bCs w:val="false"/>
                <w:color w:val="111111"/>
                <w:sz w:val="20"/>
                <w:szCs w:val="20"/>
              </w:rPr>
              <w:t xml:space="preserve">Database</w:t>
            </w:r>
          </w:p>
        </w:tc>
        <w:tc>
          <w:tcPr>
            <w:tcW w:type="dxa" w:w="2600"/>
            <w:shd w:fill="F8FAFC" w:val="clear"/>
            <w:tcMar>
              <w:top w:type="dxa" w:w="80"/>
              <w:left w:type="dxa" w:w="120"/>
              <w:bottom w:type="dxa" w:w="80"/>
              <w:right w:type="dxa" w:w="120"/>
            </w:tcMar>
          </w:tcPr>
          <w:p>
            <w:r>
              <w:rPr>
                <w:b w:val="false"/>
                <w:bCs w:val="false"/>
                <w:color w:val="111111"/>
                <w:sz w:val="20"/>
                <w:szCs w:val="20"/>
              </w:rPr>
              <w:t xml:space="preserve">Supabase (Postgres)</w:t>
            </w:r>
          </w:p>
        </w:tc>
        <w:tc>
          <w:tcPr>
            <w:tcW w:type="dxa" w:w="4600"/>
            <w:shd w:fill="F8FAFC" w:val="clear"/>
            <w:tcMar>
              <w:top w:type="dxa" w:w="80"/>
              <w:left w:type="dxa" w:w="120"/>
              <w:bottom w:type="dxa" w:w="80"/>
              <w:right w:type="dxa" w:w="120"/>
            </w:tcMar>
          </w:tcPr>
          <w:p>
            <w:r>
              <w:rPr>
                <w:b w:val="false"/>
                <w:bCs w:val="false"/>
                <w:color w:val="111111"/>
                <w:sz w:val="20"/>
                <w:szCs w:val="20"/>
              </w:rPr>
              <w:t xml:space="preserve">RLS on all tables, 25+ migrations</w:t>
            </w:r>
          </w:p>
        </w:tc>
      </w:tr>
      <w:tr>
        <w:tc>
          <w:tcPr>
            <w:tcW w:type="dxa" w:w="2400"/>
            <w:tcMar>
              <w:top w:type="dxa" w:w="80"/>
              <w:left w:type="dxa" w:w="120"/>
              <w:bottom w:type="dxa" w:w="80"/>
              <w:right w:type="dxa" w:w="120"/>
            </w:tcMar>
          </w:tcPr>
          <w:p>
            <w:r>
              <w:rPr>
                <w:b w:val="false"/>
                <w:bCs w:val="false"/>
                <w:color w:val="111111"/>
                <w:sz w:val="20"/>
                <w:szCs w:val="20"/>
              </w:rPr>
              <w:t xml:space="preserve">Authentication</w:t>
            </w:r>
          </w:p>
        </w:tc>
        <w:tc>
          <w:tcPr>
            <w:tcW w:type="dxa" w:w="2600"/>
            <w:tcMar>
              <w:top w:type="dxa" w:w="80"/>
              <w:left w:type="dxa" w:w="120"/>
              <w:bottom w:type="dxa" w:w="80"/>
              <w:right w:type="dxa" w:w="120"/>
            </w:tcMar>
          </w:tcPr>
          <w:p>
            <w:r>
              <w:rPr>
                <w:b w:val="false"/>
                <w:bCs w:val="false"/>
                <w:color w:val="111111"/>
                <w:sz w:val="20"/>
                <w:szCs w:val="20"/>
              </w:rPr>
              <w:t xml:space="preserve">Supabase Auth + Twilio Verify</w:t>
            </w:r>
          </w:p>
        </w:tc>
        <w:tc>
          <w:tcPr>
            <w:tcW w:type="dxa" w:w="4600"/>
            <w:tcMar>
              <w:top w:type="dxa" w:w="80"/>
              <w:left w:type="dxa" w:w="120"/>
              <w:bottom w:type="dxa" w:w="80"/>
              <w:right w:type="dxa" w:w="120"/>
            </w:tcMar>
          </w:tcPr>
          <w:p>
            <w:r>
              <w:rPr>
                <w:b w:val="false"/>
                <w:bCs w:val="false"/>
                <w:color w:val="111111"/>
                <w:sz w:val="20"/>
                <w:szCs w:val="20"/>
              </w:rPr>
              <w:t xml:space="preserve">Email confirmation + SMS OTP</w:t>
            </w:r>
          </w:p>
        </w:tc>
      </w:tr>
      <w:tr>
        <w:tc>
          <w:tcPr>
            <w:tcW w:type="dxa" w:w="2400"/>
            <w:shd w:fill="F8FAFC" w:val="clear"/>
            <w:tcMar>
              <w:top w:type="dxa" w:w="80"/>
              <w:left w:type="dxa" w:w="120"/>
              <w:bottom w:type="dxa" w:w="80"/>
              <w:right w:type="dxa" w:w="120"/>
            </w:tcMar>
          </w:tcPr>
          <w:p>
            <w:r>
              <w:rPr>
                <w:b w:val="false"/>
                <w:bCs w:val="false"/>
                <w:color w:val="111111"/>
                <w:sz w:val="20"/>
                <w:szCs w:val="20"/>
              </w:rPr>
              <w:t xml:space="preserve">Email</w:t>
            </w:r>
          </w:p>
        </w:tc>
        <w:tc>
          <w:tcPr>
            <w:tcW w:type="dxa" w:w="2600"/>
            <w:shd w:fill="F8FAFC" w:val="clear"/>
            <w:tcMar>
              <w:top w:type="dxa" w:w="80"/>
              <w:left w:type="dxa" w:w="120"/>
              <w:bottom w:type="dxa" w:w="80"/>
              <w:right w:type="dxa" w:w="120"/>
            </w:tcMar>
          </w:tcPr>
          <w:p>
            <w:r>
              <w:rPr>
                <w:b w:val="false"/>
                <w:bCs w:val="false"/>
                <w:color w:val="111111"/>
                <w:sz w:val="20"/>
                <w:szCs w:val="20"/>
              </w:rPr>
              <w:t xml:space="preserve">Resend</w:t>
            </w:r>
          </w:p>
        </w:tc>
        <w:tc>
          <w:tcPr>
            <w:tcW w:type="dxa" w:w="4600"/>
            <w:shd w:fill="F8FAFC" w:val="clear"/>
            <w:tcMar>
              <w:top w:type="dxa" w:w="80"/>
              <w:left w:type="dxa" w:w="120"/>
              <w:bottom w:type="dxa" w:w="80"/>
              <w:right w:type="dxa" w:w="120"/>
            </w:tcMar>
          </w:tcPr>
          <w:p>
            <w:r>
              <w:rPr>
                <w:b w:val="false"/>
                <w:bCs w:val="false"/>
                <w:color w:val="111111"/>
                <w:sz w:val="20"/>
                <w:szCs w:val="20"/>
              </w:rPr>
              <w:t xml:space="preserve">From hello@workedwith.co.uk</w:t>
            </w:r>
          </w:p>
        </w:tc>
      </w:tr>
      <w:tr>
        <w:tc>
          <w:tcPr>
            <w:tcW w:type="dxa" w:w="2400"/>
            <w:tcMar>
              <w:top w:type="dxa" w:w="80"/>
              <w:left w:type="dxa" w:w="120"/>
              <w:bottom w:type="dxa" w:w="80"/>
              <w:right w:type="dxa" w:w="120"/>
            </w:tcMar>
          </w:tcPr>
          <w:p>
            <w:r>
              <w:rPr>
                <w:b w:val="false"/>
                <w:bCs w:val="false"/>
                <w:color w:val="111111"/>
                <w:sz w:val="20"/>
                <w:szCs w:val="20"/>
              </w:rPr>
              <w:t xml:space="preserve">Payments</w:t>
            </w:r>
          </w:p>
        </w:tc>
        <w:tc>
          <w:tcPr>
            <w:tcW w:type="dxa" w:w="2600"/>
            <w:tcMar>
              <w:top w:type="dxa" w:w="80"/>
              <w:left w:type="dxa" w:w="120"/>
              <w:bottom w:type="dxa" w:w="80"/>
              <w:right w:type="dxa" w:w="120"/>
            </w:tcMar>
          </w:tcPr>
          <w:p>
            <w:r>
              <w:rPr>
                <w:b w:val="false"/>
                <w:bCs w:val="false"/>
                <w:color w:val="111111"/>
                <w:sz w:val="20"/>
                <w:szCs w:val="20"/>
              </w:rPr>
              <w:t xml:space="preserve">Stripe</w:t>
            </w:r>
          </w:p>
        </w:tc>
        <w:tc>
          <w:tcPr>
            <w:tcW w:type="dxa" w:w="4600"/>
            <w:tcMar>
              <w:top w:type="dxa" w:w="80"/>
              <w:left w:type="dxa" w:w="120"/>
              <w:bottom w:type="dxa" w:w="80"/>
              <w:right w:type="dxa" w:w="120"/>
            </w:tcMar>
          </w:tcPr>
          <w:p>
            <w:r>
              <w:rPr>
                <w:b w:val="false"/>
                <w:bCs w:val="false"/>
                <w:color w:val="111111"/>
                <w:sz w:val="20"/>
                <w:szCs w:val="20"/>
              </w:rPr>
              <w:t xml:space="preserve">Subscriptions, webhooks, customer portal</w:t>
            </w:r>
          </w:p>
        </w:tc>
      </w:tr>
      <w:tr>
        <w:tc>
          <w:tcPr>
            <w:tcW w:type="dxa" w:w="2400"/>
            <w:shd w:fill="F8FAFC" w:val="clear"/>
            <w:tcMar>
              <w:top w:type="dxa" w:w="80"/>
              <w:left w:type="dxa" w:w="120"/>
              <w:bottom w:type="dxa" w:w="80"/>
              <w:right w:type="dxa" w:w="120"/>
            </w:tcMar>
          </w:tcPr>
          <w:p>
            <w:r>
              <w:rPr>
                <w:b w:val="false"/>
                <w:bCs w:val="false"/>
                <w:color w:val="111111"/>
                <w:sz w:val="20"/>
                <w:szCs w:val="20"/>
              </w:rPr>
              <w:t xml:space="preserve">Image Moderation</w:t>
            </w:r>
          </w:p>
        </w:tc>
        <w:tc>
          <w:tcPr>
            <w:tcW w:type="dxa" w:w="2600"/>
            <w:shd w:fill="F8FAFC" w:val="clear"/>
            <w:tcMar>
              <w:top w:type="dxa" w:w="80"/>
              <w:left w:type="dxa" w:w="120"/>
              <w:bottom w:type="dxa" w:w="80"/>
              <w:right w:type="dxa" w:w="120"/>
            </w:tcMar>
          </w:tcPr>
          <w:p>
            <w:r>
              <w:rPr>
                <w:b w:val="false"/>
                <w:bCs w:val="false"/>
                <w:color w:val="111111"/>
                <w:sz w:val="20"/>
                <w:szCs w:val="20"/>
              </w:rPr>
              <w:t xml:space="preserve">AWS Rekognition</w:t>
            </w:r>
          </w:p>
        </w:tc>
        <w:tc>
          <w:tcPr>
            <w:tcW w:type="dxa" w:w="4600"/>
            <w:shd w:fill="F8FAFC" w:val="clear"/>
            <w:tcMar>
              <w:top w:type="dxa" w:w="80"/>
              <w:left w:type="dxa" w:w="120"/>
              <w:bottom w:type="dxa" w:w="80"/>
              <w:right w:type="dxa" w:w="120"/>
            </w:tcMar>
          </w:tcPr>
          <w:p>
            <w:r>
              <w:rPr>
                <w:b w:val="false"/>
                <w:bCs w:val="false"/>
                <w:color w:val="111111"/>
                <w:sz w:val="20"/>
                <w:szCs w:val="20"/>
              </w:rPr>
              <w:t xml:space="preserve">Auto-moderates featured job images</w:t>
            </w:r>
          </w:p>
        </w:tc>
      </w:tr>
      <w:tr>
        <w:tc>
          <w:tcPr>
            <w:tcW w:type="dxa" w:w="2400"/>
            <w:tcMar>
              <w:top w:type="dxa" w:w="80"/>
              <w:left w:type="dxa" w:w="120"/>
              <w:bottom w:type="dxa" w:w="80"/>
              <w:right w:type="dxa" w:w="120"/>
            </w:tcMar>
          </w:tcPr>
          <w:p>
            <w:r>
              <w:rPr>
                <w:b w:val="false"/>
                <w:bCs w:val="false"/>
                <w:color w:val="111111"/>
                <w:sz w:val="20"/>
                <w:szCs w:val="20"/>
              </w:rPr>
              <w:t xml:space="preserve">Business Verification</w:t>
            </w:r>
          </w:p>
        </w:tc>
        <w:tc>
          <w:tcPr>
            <w:tcW w:type="dxa" w:w="2600"/>
            <w:tcMar>
              <w:top w:type="dxa" w:w="80"/>
              <w:left w:type="dxa" w:w="120"/>
              <w:bottom w:type="dxa" w:w="80"/>
              <w:right w:type="dxa" w:w="120"/>
            </w:tcMar>
          </w:tcPr>
          <w:p>
            <w:r>
              <w:rPr>
                <w:b w:val="false"/>
                <w:bCs w:val="false"/>
                <w:color w:val="111111"/>
                <w:sz w:val="20"/>
                <w:szCs w:val="20"/>
              </w:rPr>
              <w:t xml:space="preserve">Companies House API</w:t>
            </w:r>
          </w:p>
        </w:tc>
        <w:tc>
          <w:tcPr>
            <w:tcW w:type="dxa" w:w="4600"/>
            <w:tcMar>
              <w:top w:type="dxa" w:w="80"/>
              <w:left w:type="dxa" w:w="120"/>
              <w:bottom w:type="dxa" w:w="80"/>
              <w:right w:type="dxa" w:w="120"/>
            </w:tcMar>
          </w:tcPr>
          <w:p>
            <w:r>
              <w:rPr>
                <w:b w:val="false"/>
                <w:bCs w:val="false"/>
                <w:color w:val="111111"/>
                <w:sz w:val="20"/>
                <w:szCs w:val="20"/>
              </w:rPr>
              <w:t xml:space="preserve">LTD company verification</w:t>
            </w:r>
          </w:p>
        </w:tc>
      </w:tr>
      <w:tr>
        <w:tc>
          <w:tcPr>
            <w:tcW w:type="dxa" w:w="2400"/>
            <w:shd w:fill="F8FAFC" w:val="clear"/>
            <w:tcMar>
              <w:top w:type="dxa" w:w="80"/>
              <w:left w:type="dxa" w:w="120"/>
              <w:bottom w:type="dxa" w:w="80"/>
              <w:right w:type="dxa" w:w="120"/>
            </w:tcMar>
          </w:tcPr>
          <w:p>
            <w:r>
              <w:rPr>
                <w:b w:val="false"/>
                <w:bCs w:val="false"/>
                <w:color w:val="111111"/>
                <w:sz w:val="20"/>
                <w:szCs w:val="20"/>
              </w:rPr>
              <w:t xml:space="preserve">Postcode Resolution</w:t>
            </w:r>
          </w:p>
        </w:tc>
        <w:tc>
          <w:tcPr>
            <w:tcW w:type="dxa" w:w="2600"/>
            <w:shd w:fill="F8FAFC" w:val="clear"/>
            <w:tcMar>
              <w:top w:type="dxa" w:w="80"/>
              <w:left w:type="dxa" w:w="120"/>
              <w:bottom w:type="dxa" w:w="80"/>
              <w:right w:type="dxa" w:w="120"/>
            </w:tcMar>
          </w:tcPr>
          <w:p>
            <w:r>
              <w:rPr>
                <w:b w:val="false"/>
                <w:bCs w:val="false"/>
                <w:color w:val="111111"/>
                <w:sz w:val="20"/>
                <w:szCs w:val="20"/>
              </w:rPr>
              <w:t xml:space="preserve">postcodes.io</w:t>
            </w:r>
          </w:p>
        </w:tc>
        <w:tc>
          <w:tcPr>
            <w:tcW w:type="dxa" w:w="4600"/>
            <w:shd w:fill="F8FAFC" w:val="clear"/>
            <w:tcMar>
              <w:top w:type="dxa" w:w="80"/>
              <w:left w:type="dxa" w:w="120"/>
              <w:bottom w:type="dxa" w:w="80"/>
              <w:right w:type="dxa" w:w="120"/>
            </w:tcMar>
          </w:tcPr>
          <w:p>
            <w:r>
              <w:rPr>
                <w:b w:val="false"/>
                <w:bCs w:val="false"/>
                <w:color w:val="111111"/>
                <w:sz w:val="20"/>
                <w:szCs w:val="20"/>
              </w:rPr>
              <w:t xml:space="preserve">Resolves postcodes to outward districts for Operating Areas and search matching. Haversine radius search removed in v3.2 — district match replaces it entirely.</w:t>
            </w:r>
          </w:p>
        </w:tc>
      </w:tr>
      <w:tr>
        <w:tc>
          <w:tcPr>
            <w:tcW w:type="dxa" w:w="2400"/>
            <w:tcMar>
              <w:top w:type="dxa" w:w="80"/>
              <w:left w:type="dxa" w:w="120"/>
              <w:bottom w:type="dxa" w:w="80"/>
              <w:right w:type="dxa" w:w="120"/>
            </w:tcMar>
          </w:tcPr>
          <w:p>
            <w:r>
              <w:rPr>
                <w:b w:val="false"/>
                <w:bCs w:val="false"/>
                <w:color w:val="111111"/>
                <w:sz w:val="20"/>
                <w:szCs w:val="20"/>
              </w:rPr>
              <w:t xml:space="preserve">Hosting</w:t>
            </w:r>
          </w:p>
        </w:tc>
        <w:tc>
          <w:tcPr>
            <w:tcW w:type="dxa" w:w="2600"/>
            <w:tcMar>
              <w:top w:type="dxa" w:w="80"/>
              <w:left w:type="dxa" w:w="120"/>
              <w:bottom w:type="dxa" w:w="80"/>
              <w:right w:type="dxa" w:w="120"/>
            </w:tcMar>
          </w:tcPr>
          <w:p>
            <w:r>
              <w:rPr>
                <w:b w:val="false"/>
                <w:bCs w:val="false"/>
                <w:color w:val="111111"/>
                <w:sz w:val="20"/>
                <w:szCs w:val="20"/>
              </w:rPr>
              <w:t xml:space="preserve">Vercel</w:t>
            </w:r>
          </w:p>
        </w:tc>
        <w:tc>
          <w:tcPr>
            <w:tcW w:type="dxa" w:w="4600"/>
            <w:tcMar>
              <w:top w:type="dxa" w:w="80"/>
              <w:left w:type="dxa" w:w="120"/>
              <w:bottom w:type="dxa" w:w="80"/>
              <w:right w:type="dxa" w:w="120"/>
            </w:tcMar>
          </w:tcPr>
          <w:p>
            <w:r>
              <w:rPr>
                <w:b w:val="false"/>
                <w:bCs w:val="false"/>
                <w:color w:val="111111"/>
                <w:sz w:val="20"/>
                <w:szCs w:val="20"/>
              </w:rPr>
              <w:t xml:space="preserve">Auto-deploy on GitHub push</w:t>
            </w:r>
          </w:p>
        </w:tc>
      </w:tr>
      <w:tr>
        <w:tc>
          <w:tcPr>
            <w:tcW w:type="dxa" w:w="2400"/>
            <w:shd w:fill="F8FAFC" w:val="clear"/>
            <w:tcMar>
              <w:top w:type="dxa" w:w="80"/>
              <w:left w:type="dxa" w:w="120"/>
              <w:bottom w:type="dxa" w:w="80"/>
              <w:right w:type="dxa" w:w="120"/>
            </w:tcMar>
          </w:tcPr>
          <w:p>
            <w:r>
              <w:rPr>
                <w:b w:val="false"/>
                <w:bCs w:val="false"/>
                <w:color w:val="111111"/>
                <w:sz w:val="20"/>
                <w:szCs w:val="20"/>
              </w:rPr>
              <w:t xml:space="preserve">Domain</w:t>
            </w:r>
          </w:p>
        </w:tc>
        <w:tc>
          <w:tcPr>
            <w:tcW w:type="dxa" w:w="2600"/>
            <w:shd w:fill="F8FAFC" w:val="clear"/>
            <w:tcMar>
              <w:top w:type="dxa" w:w="80"/>
              <w:left w:type="dxa" w:w="120"/>
              <w:bottom w:type="dxa" w:w="80"/>
              <w:right w:type="dxa" w:w="120"/>
            </w:tcMar>
          </w:tcPr>
          <w:p>
            <w:r>
              <w:rPr>
                <w:b w:val="false"/>
                <w:bCs w:val="false"/>
                <w:color w:val="111111"/>
                <w:sz w:val="20"/>
                <w:szCs w:val="20"/>
              </w:rPr>
              <w:t xml:space="preserve">workedwith.co.uk</w:t>
            </w:r>
          </w:p>
        </w:tc>
        <w:tc>
          <w:tcPr>
            <w:tcW w:type="dxa" w:w="4600"/>
            <w:shd w:fill="F8FAFC" w:val="clear"/>
            <w:tcMar>
              <w:top w:type="dxa" w:w="80"/>
              <w:left w:type="dxa" w:w="120"/>
              <w:bottom w:type="dxa" w:w="80"/>
              <w:right w:type="dxa" w:w="120"/>
            </w:tcMar>
          </w:tcPr>
          <w:p>
            <w:r>
              <w:rPr>
                <w:b w:val="false"/>
                <w:bCs w:val="false"/>
                <w:color w:val="111111"/>
                <w:sz w:val="20"/>
                <w:szCs w:val="20"/>
              </w:rPr>
              <w:t xml:space="preserve">GoDaddy DNS, Vercel CDN</w:t>
            </w:r>
          </w:p>
        </w:tc>
      </w:tr>
      <w:tr>
        <w:tc>
          <w:tcPr>
            <w:tcW w:type="dxa" w:w="2400"/>
            <w:tcMar>
              <w:top w:type="dxa" w:w="80"/>
              <w:left w:type="dxa" w:w="120"/>
              <w:bottom w:type="dxa" w:w="80"/>
              <w:right w:type="dxa" w:w="120"/>
            </w:tcMar>
          </w:tcPr>
          <w:p>
            <w:r>
              <w:rPr>
                <w:b w:val="false"/>
                <w:bCs w:val="false"/>
                <w:color w:val="111111"/>
                <w:sz w:val="20"/>
                <w:szCs w:val="20"/>
              </w:rPr>
              <w:t xml:space="preserve">Repository</w:t>
            </w:r>
          </w:p>
        </w:tc>
        <w:tc>
          <w:tcPr>
            <w:tcW w:type="dxa" w:w="2600"/>
            <w:tcMar>
              <w:top w:type="dxa" w:w="80"/>
              <w:left w:type="dxa" w:w="120"/>
              <w:bottom w:type="dxa" w:w="80"/>
              <w:right w:type="dxa" w:w="120"/>
            </w:tcMar>
          </w:tcPr>
          <w:p>
            <w:r>
              <w:rPr>
                <w:b w:val="false"/>
                <w:bCs w:val="false"/>
                <w:color w:val="111111"/>
                <w:sz w:val="20"/>
                <w:szCs w:val="20"/>
              </w:rPr>
              <w:t xml:space="preserve">github.com/WorkedWith/workedwith</w:t>
            </w:r>
          </w:p>
        </w:tc>
        <w:tc>
          <w:tcPr>
            <w:tcW w:type="dxa" w:w="4600"/>
            <w:tcMar>
              <w:top w:type="dxa" w:w="80"/>
              <w:left w:type="dxa" w:w="120"/>
              <w:bottom w:type="dxa" w:w="80"/>
              <w:right w:type="dxa" w:w="120"/>
            </w:tcMar>
          </w:tcPr>
          <w:p>
            <w:r>
              <w:rPr>
                <w:b w:val="false"/>
                <w:bCs w:val="false"/>
                <w:color w:val="111111"/>
                <w:sz w:val="20"/>
                <w:szCs w:val="20"/>
              </w:rPr>
              <w:t xml:space="preserve">Private repo</w:t>
            </w:r>
          </w:p>
        </w:tc>
      </w:tr>
    </w:tbl>
    <w:p>
      <w:pPr>
        <w:pStyle w:val="Heading1"/>
        <w:spacing w:after="160" w:before="360"/>
      </w:pPr>
      <w:r>
        <w:t xml:space="preserve">4. User Flows</w:t>
      </w:r>
    </w:p>
    <w:p>
      <w:pPr>
        <w:pStyle w:val="Heading2"/>
        <w:spacing w:after="120" w:before="260"/>
      </w:pPr>
      <w:r>
        <w:t xml:space="preserve">4.1 Tradesperson Registration</w:t>
      </w:r>
    </w:p>
    <w:p>
      <w:pPr>
        <w:pStyle w:val="ListParagraph"/>
        <w:numPr>
          <w:ilvl w:val="0"/>
          <w:numId w:val="2"/>
        </w:numPr>
        <w:spacing w:after="80"/>
      </w:pPr>
      <w:r>
        <w:t xml:space="preserve">Sign up at workedwith.co.uk — name, email, password</w:t>
      </w:r>
    </w:p>
    <w:p>
      <w:pPr>
        <w:pStyle w:val="ListParagraph"/>
        <w:numPr>
          <w:ilvl w:val="0"/>
          <w:numId w:val="2"/>
        </w:numPr>
        <w:spacing w:after="80"/>
      </w:pPr>
      <w:r>
        <w:t xml:space="preserve">Verify email via confirmation link from hello@workedwith.co.uk</w:t>
      </w:r>
    </w:p>
    <w:p>
      <w:pPr>
        <w:pStyle w:val="ListParagraph"/>
        <w:numPr>
          <w:ilvl w:val="0"/>
          <w:numId w:val="2"/>
        </w:numPr>
        <w:spacing w:after="80"/>
      </w:pPr>
      <w:r>
        <w:t xml:space="preserve">Verify phone via SMS OTP (Twilio Verify)</w:t>
      </w:r>
    </w:p>
    <w:p>
      <w:pPr>
        <w:pStyle w:val="ListParagraph"/>
        <w:numPr>
          <w:ilvl w:val="0"/>
          <w:numId w:val="2"/>
        </w:numPr>
        <w:spacing w:after="80"/>
      </w:pPr>
      <w:r>
        <w:t xml:space="preserve">Complete trade profile — trade types, postcode, bio, years experience</w:t>
      </w:r>
    </w:p>
    <w:p>
      <w:pPr>
        <w:pStyle w:val="ListParagraph"/>
        <w:numPr>
          <w:ilvl w:val="0"/>
          <w:numId w:val="2"/>
        </w:numPr>
        <w:spacing w:after="80"/>
      </w:pPr>
      <w:r>
        <w:t xml:space="preserve">Select Operating Areas — up to 20 postcode districts</w:t>
      </w:r>
    </w:p>
    <w:p>
      <w:pPr>
        <w:pStyle w:val="ListParagraph"/>
        <w:numPr>
          <w:ilvl w:val="0"/>
          <w:numId w:val="2"/>
        </w:numPr>
        <w:spacing w:after="80"/>
      </w:pPr>
      <w:r>
        <w:t xml:space="preserve">Post-onboarding pricing prompt — choose Free, Standard, or Pro</w:t>
      </w:r>
    </w:p>
    <w:p>
      <w:pPr>
        <w:pStyle w:val="ListParagraph"/>
        <w:numPr>
          <w:ilvl w:val="0"/>
          <w:numId w:val="2"/>
        </w:numPr>
        <w:spacing w:after="80"/>
      </w:pPr>
      <w:r>
        <w:t xml:space="preserve">Dashboard — onboarding checklist guides first steps</w:t>
      </w:r>
    </w:p>
    <w:p>
      <w:pPr>
        <w:pStyle w:val="Heading2"/>
        <w:spacing w:after="120" w:before="260"/>
      </w:pPr>
      <w:r>
        <w:t xml:space="preserve">4.2 Client Registration</w:t>
      </w:r>
    </w:p>
    <w:p>
      <w:pPr>
        <w:pStyle w:val="ListParagraph"/>
        <w:numPr>
          <w:ilvl w:val="0"/>
          <w:numId w:val="2"/>
        </w:numPr>
        <w:spacing w:after="80"/>
      </w:pPr>
      <w:r>
        <w:t xml:space="preserve">Sign up at workedwith.co.uk — individual or business</w:t>
      </w:r>
    </w:p>
    <w:p>
      <w:pPr>
        <w:pStyle w:val="ListParagraph"/>
        <w:numPr>
          <w:ilvl w:val="0"/>
          <w:numId w:val="2"/>
        </w:numPr>
        <w:spacing w:after="80"/>
      </w:pPr>
      <w:r>
        <w:t xml:space="preserve">Verify email and phone</w:t>
      </w:r>
    </w:p>
    <w:p>
      <w:pPr>
        <w:pStyle w:val="ListParagraph"/>
        <w:numPr>
          <w:ilvl w:val="0"/>
          <w:numId w:val="2"/>
        </w:numPr>
        <w:spacing w:after="80"/>
      </w:pPr>
      <w:r>
        <w:t xml:space="preserve">Individual clients: complete basic profile (name, postcode)</w:t>
      </w:r>
    </w:p>
    <w:p>
      <w:pPr>
        <w:pStyle w:val="ListParagraph"/>
        <w:numPr>
          <w:ilvl w:val="0"/>
          <w:numId w:val="2"/>
        </w:numPr>
        <w:spacing w:after="80"/>
      </w:pPr>
      <w:r>
        <w:t xml:space="preserve">Business clients: verify via Companies House number</w:t>
      </w:r>
    </w:p>
    <w:p>
      <w:pPr>
        <w:pStyle w:val="ListParagraph"/>
        <w:numPr>
          <w:ilvl w:val="0"/>
          <w:numId w:val="2"/>
        </w:numPr>
        <w:spacing w:after="80"/>
      </w:pPr>
      <w:r>
        <w:t xml:space="preserve">Dashboard — find tradespeople, confirm jobs, manage reviews</w:t>
      </w:r>
    </w:p>
    <w:p>
      <w:pPr>
        <w:pStyle w:val="Heading2"/>
        <w:spacing w:after="120" w:before="260"/>
      </w:pPr>
      <w:r>
        <w:t xml:space="preserve">4.3 Live Job Flow</w:t>
      </w:r>
    </w:p>
    <w:p>
      <w:pPr>
        <w:pStyle w:val="ListParagraph"/>
        <w:numPr>
          <w:ilvl w:val="0"/>
          <w:numId w:val="2"/>
        </w:numPr>
        <w:spacing w:after="80"/>
      </w:pPr>
      <w:r>
        <w:t xml:space="preserve">Tradesperson logs a live job — trade type, postcode, description, client contact</w:t>
      </w:r>
    </w:p>
    <w:p>
      <w:pPr>
        <w:pStyle w:val="ListParagraph"/>
        <w:numPr>
          <w:ilvl w:val="0"/>
          <w:numId w:val="2"/>
        </w:numPr>
        <w:spacing w:after="80"/>
      </w:pPr>
      <w:r>
        <w:t xml:space="preserve">Client receives email invite to confirm the job</w:t>
      </w:r>
    </w:p>
    <w:p>
      <w:pPr>
        <w:pStyle w:val="ListParagraph"/>
        <w:numPr>
          <w:ilvl w:val="0"/>
          <w:numId w:val="2"/>
        </w:numPr>
        <w:spacing w:after="80"/>
      </w:pPr>
      <w:r>
        <w:t xml:space="preserve">Client confirms — review window opens</w:t>
      </w:r>
    </w:p>
    <w:p>
      <w:pPr>
        <w:pStyle w:val="ListParagraph"/>
        <w:numPr>
          <w:ilvl w:val="0"/>
          <w:numId w:val="2"/>
        </w:numPr>
        <w:spacing w:after="80"/>
      </w:pPr>
      <w:r>
        <w:t xml:space="preserve">Both parties submit reviews within 7-day blind window</w:t>
      </w:r>
    </w:p>
    <w:p>
      <w:pPr>
        <w:pStyle w:val="ListParagraph"/>
        <w:numPr>
          <w:ilvl w:val="0"/>
          <w:numId w:val="2"/>
        </w:numPr>
        <w:spacing w:after="80"/>
      </w:pPr>
      <w:r>
        <w:t xml:space="preserve">Reviews publish simultaneously (or auto-publish at day 7)</w:t>
      </w:r>
    </w:p>
    <w:p>
      <w:pPr>
        <w:pStyle w:val="Heading2"/>
        <w:spacing w:after="120" w:before="260"/>
      </w:pPr>
      <w:r>
        <w:t xml:space="preserve">4.4 Backdated Job Flow</w:t>
      </w:r>
    </w:p>
    <w:p>
      <w:pPr>
        <w:pStyle w:val="ListParagraph"/>
        <w:numPr>
          <w:ilvl w:val="0"/>
          <w:numId w:val="2"/>
        </w:numPr>
        <w:spacing w:after="80"/>
      </w:pPr>
      <w:r>
        <w:t xml:space="preserve">Tradesperson or client adds a past job — trade type, approximate period, postcode, other party contact</w:t>
      </w:r>
    </w:p>
    <w:p>
      <w:pPr>
        <w:pStyle w:val="ListParagraph"/>
        <w:numPr>
          <w:ilvl w:val="0"/>
          <w:numId w:val="2"/>
        </w:numPr>
        <w:spacing w:after="80"/>
      </w:pPr>
      <w:r>
        <w:t xml:space="preserve">Optional: submit your review at the same time as logging the job</w:t>
      </w:r>
    </w:p>
    <w:p>
      <w:pPr>
        <w:pStyle w:val="ListParagraph"/>
        <w:numPr>
          <w:ilvl w:val="0"/>
          <w:numId w:val="2"/>
        </w:numPr>
        <w:spacing w:after="80"/>
      </w:pPr>
      <w:r>
        <w:t xml:space="preserve">Other party receives email invite to confirm and leave their review</w:t>
      </w:r>
    </w:p>
    <w:p>
      <w:pPr>
        <w:pStyle w:val="ListParagraph"/>
        <w:numPr>
          <w:ilvl w:val="0"/>
          <w:numId w:val="2"/>
        </w:numPr>
        <w:spacing w:after="80"/>
      </w:pPr>
      <w:r>
        <w:t xml:space="preserve">Review window follows same blind submission rules</w:t>
      </w:r>
    </w:p>
    <w:p>
      <w:pPr>
        <w:pStyle w:val="Heading2"/>
        <w:spacing w:after="120" w:before="260"/>
      </w:pPr>
      <w:r>
        <w:t xml:space="preserve">4.5 Client Lookup (Tradesperson Only)</w:t>
      </w:r>
    </w:p>
    <w:p>
      <w:pPr>
        <w:pStyle w:val="ListParagraph"/>
        <w:numPr>
          <w:ilvl w:val="0"/>
          <w:numId w:val="2"/>
        </w:numPr>
        <w:spacing w:after="80"/>
      </w:pPr>
      <w:r>
        <w:t xml:space="preserve">Tradesperson searches by client WorkedWith username from their dashboard</w:t>
      </w:r>
    </w:p>
    <w:p>
      <w:pPr>
        <w:pStyle w:val="ListParagraph"/>
        <w:numPr>
          <w:ilvl w:val="0"/>
          <w:numId w:val="2"/>
        </w:numPr>
        <w:spacing w:after="80"/>
      </w:pPr>
      <w:r>
        <w:t xml:space="preserve">Free tier: sees basic profile — overall rating and review count</w:t>
      </w:r>
    </w:p>
    <w:p>
      <w:pPr>
        <w:pStyle w:val="ListParagraph"/>
        <w:numPr>
          <w:ilvl w:val="0"/>
          <w:numId w:val="2"/>
        </w:numPr>
        <w:spacing w:after="80"/>
      </w:pPr>
      <w:r>
        <w:t xml:space="preserve">Standard and Pro: sees full profile — payment reliability, communication score, scope clarity, red flag history, written review excerpts from other tradespeople</w:t>
      </w:r>
    </w:p>
    <w:p>
      <w:pPr>
        <w:pStyle w:val="Heading2"/>
        <w:spacing w:after="120" w:before="260"/>
      </w:pPr>
      <w:r>
        <w:t xml:space="preserve">4.6 ID Verification (Optional)</w:t>
      </w:r>
    </w:p>
    <w:p>
      <w:pPr>
        <w:pStyle w:val="ListParagraph"/>
        <w:numPr>
          <w:ilvl w:val="0"/>
          <w:numId w:val="2"/>
        </w:numPr>
        <w:spacing w:after="80"/>
      </w:pPr>
      <w:r>
        <w:t xml:space="preserve">Tradesperson submits driving licence photo from their dashboard</w:t>
      </w:r>
    </w:p>
    <w:p>
      <w:pPr>
        <w:pStyle w:val="ListParagraph"/>
        <w:numPr>
          <w:ilvl w:val="0"/>
          <w:numId w:val="2"/>
        </w:numPr>
        <w:spacing w:after="80"/>
      </w:pPr>
      <w:r>
        <w:t xml:space="preserve">Image uploaded to private Supabase Storage, reviewed by WorkedWith admin</w:t>
      </w:r>
    </w:p>
    <w:p>
      <w:pPr>
        <w:pStyle w:val="ListParagraph"/>
        <w:numPr>
          <w:ilvl w:val="0"/>
          <w:numId w:val="2"/>
        </w:numPr>
        <w:spacing w:after="80"/>
      </w:pPr>
      <w:r>
        <w:t xml:space="preserve">Image deleted immediately after review</w:t>
      </w:r>
    </w:p>
    <w:p>
      <w:pPr>
        <w:pStyle w:val="ListParagraph"/>
        <w:numPr>
          <w:ilvl w:val="0"/>
          <w:numId w:val="2"/>
        </w:numPr>
        <w:spacing w:after="80"/>
      </w:pPr>
      <w:r>
        <w:t xml:space="preserve">One-way hash of licence number retained for fraud prevention</w:t>
      </w:r>
    </w:p>
    <w:p>
      <w:pPr>
        <w:pStyle w:val="ListParagraph"/>
        <w:numPr>
          <w:ilvl w:val="0"/>
          <w:numId w:val="2"/>
        </w:numPr>
        <w:spacing w:after="80"/>
      </w:pPr>
      <w:r>
        <w:t xml:space="preserve">On approval: verification_tier set to fully_verified, Verified badge displayed on public profile</w:t>
      </w:r>
    </w:p>
    <w:p>
      <w:pPr>
        <w:pStyle w:val="Heading2"/>
        <w:spacing w:after="120" w:before="260"/>
      </w:pPr>
      <w:r>
        <w:t xml:space="preserve">4.7 Client-Initiated Job Invite (Trade Claim Flow)</w:t>
      </w:r>
    </w:p>
    <w:p>
      <w:pPr>
        <w:spacing w:after="160"/>
      </w:pPr>
      <w:r>
        <w:t xml:space="preserve">This flow extends the backdated job concept to cover the case where the tradesperson has no WorkedWith account at all yet. It lets a client submit a job confirmation request directly against a tradesperson's contact details, and invites that tradesperson to verify, claim, and complete the mutual review — without ever publishing unverified content.</w:t>
      </w:r>
    </w:p>
    <w:p>
      <w:pPr>
        <w:pStyle w:val="Heading3"/>
        <w:spacing w:after="100" w:before="200"/>
      </w:pPr>
      <w:r>
        <w:t xml:space="preserve">Step-by-step</w:t>
      </w:r>
    </w:p>
    <w:p>
      <w:pPr>
        <w:pStyle w:val="ListParagraph"/>
        <w:numPr>
          <w:ilvl w:val="0"/>
          <w:numId w:val="2"/>
        </w:numPr>
        <w:spacing w:after="80"/>
      </w:pPr>
      <w:r>
        <w:t xml:space="preserve">Client (existing WorkedWith account) submits a job with: trade/company name, job description, job date, and at least one contact method for the tradesperson (phone and/or email)</w:t>
      </w:r>
    </w:p>
    <w:p>
      <w:pPr>
        <w:pStyle w:val="ListParagraph"/>
        <w:numPr>
          <w:ilvl w:val="0"/>
          <w:numId w:val="2"/>
        </w:numPr>
        <w:spacing w:after="80"/>
      </w:pPr>
      <w:r>
        <w:t xml:space="preserve">System creates a pending job confirmation record — not a review, not a public profile. Nothing is publicly visible at this stage</w:t>
      </w:r>
    </w:p>
    <w:p>
      <w:pPr>
        <w:pStyle w:val="ListParagraph"/>
        <w:numPr>
          <w:ilvl w:val="0"/>
          <w:numId w:val="2"/>
        </w:numPr>
        <w:spacing w:after="80"/>
      </w:pPr>
      <w:r>
        <w:t xml:space="preserve">Invite is sent according to the contact data provided: Phone only → SMS via Twilio; Email only → email via Resend; Both recorded → SMS and email sent together, same claim link/code in both</w:t>
      </w:r>
    </w:p>
    <w:p>
      <w:pPr>
        <w:pStyle w:val="ListParagraph"/>
        <w:numPr>
          <w:ilvl w:val="0"/>
          <w:numId w:val="2"/>
        </w:numPr>
        <w:spacing w:after="80"/>
      </w:pPr>
      <w:r>
        <w:t xml:space="preserve">Tradesperson opens the claim link and verifies via Twilio OTP (phone) or a time-limited email confirmation token (email-only case)</w:t>
      </w:r>
    </w:p>
    <w:p>
      <w:pPr>
        <w:pStyle w:val="ListParagraph"/>
        <w:numPr>
          <w:ilvl w:val="0"/>
          <w:numId w:val="2"/>
        </w:numPr>
        <w:spacing w:after="80"/>
      </w:pPr>
      <w:r>
        <w:t xml:space="preserve">On verification, the tradesperson either claims an existing WorkedWith profile (if their verified phone/email already matches an account) or creates a new account, pre-populated with the company name and job details as submitted by the client — fully editable immediately (company name, trade category, etc.)</w:t>
      </w:r>
    </w:p>
    <w:p>
      <w:pPr>
        <w:pStyle w:val="ListParagraph"/>
        <w:numPr>
          <w:ilvl w:val="0"/>
          <w:numId w:val="2"/>
        </w:numPr>
        <w:spacing w:after="80"/>
      </w:pPr>
      <w:r>
        <w:t xml:space="preserve">Once claimed, the job enters the standard confirmed-job state. Both parties submit blind reviews under the normal 7-day auto-publish rules (see 2.3)</w:t>
      </w:r>
    </w:p>
    <w:p>
      <w:pPr>
        <w:pStyle w:val="Heading3"/>
        <w:spacing w:after="100" w:before="200"/>
      </w:pPr>
      <w:r>
        <w:t xml:space="preserve">Invite states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2937" w:val="clear"/>
            <w:tcMar>
              <w:top w:type="dxa" w:w="80"/>
              <w:left w:type="dxa" w:w="120"/>
              <w:bottom w:type="dxa" w:w="80"/>
              <w:right w:type="dxa" w:w="120"/>
            </w:tcMar>
          </w:tcPr>
          <w:p>
            <w:r>
              <w:rPr>
                <w:b/>
                <w:bCs/>
                <w:color w:val="FFFFFF"/>
                <w:sz w:val="20"/>
                <w:szCs w:val="20"/>
              </w:rPr>
              <w:t xml:space="preserve">State</w:t>
            </w:r>
          </w:p>
        </w:tc>
        <w:tc>
          <w:tcPr>
            <w:tcW w:type="dxa" w:w="7400"/>
            <w:shd w:fill="1F2937" w:val="clear"/>
            <w:tcMar>
              <w:top w:type="dxa" w:w="80"/>
              <w:left w:type="dxa" w:w="120"/>
              <w:bottom w:type="dxa" w:w="80"/>
              <w:right w:type="dxa" w:w="120"/>
            </w:tcMar>
          </w:tcPr>
          <w:p>
            <w:r>
              <w:rPr>
                <w:b/>
                <w:bCs/>
                <w:color w:val="FFFFFF"/>
                <w:sz w:val="20"/>
                <w:szCs w:val="20"/>
              </w:rPr>
              <w:t xml:space="preserve">Description</w:t>
            </w:r>
          </w:p>
        </w:tc>
      </w:tr>
      <w:tr>
        <w:tc>
          <w:tcPr>
            <w:tcW w:type="dxa" w:w="2200"/>
            <w:tcMar>
              <w:top w:type="dxa" w:w="80"/>
              <w:left w:type="dxa" w:w="120"/>
              <w:bottom w:type="dxa" w:w="80"/>
              <w:right w:type="dxa" w:w="120"/>
            </w:tcMar>
          </w:tcPr>
          <w:p>
            <w:r>
              <w:rPr>
                <w:b w:val="false"/>
                <w:bCs w:val="false"/>
                <w:color w:val="111111"/>
                <w:sz w:val="20"/>
                <w:szCs w:val="20"/>
              </w:rPr>
              <w:t xml:space="preserve">Sent</w:t>
            </w:r>
          </w:p>
        </w:tc>
        <w:tc>
          <w:tcPr>
            <w:tcW w:type="dxa" w:w="7400"/>
            <w:tcMar>
              <w:top w:type="dxa" w:w="80"/>
              <w:left w:type="dxa" w:w="120"/>
              <w:bottom w:type="dxa" w:w="80"/>
              <w:right w:type="dxa" w:w="120"/>
            </w:tcMar>
          </w:tcPr>
          <w:p>
            <w:r>
              <w:rPr>
                <w:b w:val="false"/>
                <w:bCs w:val="false"/>
                <w:color w:val="111111"/>
                <w:sz w:val="20"/>
                <w:szCs w:val="20"/>
              </w:rPr>
              <w:t xml:space="preserve">Invite delivered, no action taken yet</w:t>
            </w:r>
          </w:p>
        </w:tc>
      </w:tr>
      <w:tr>
        <w:tc>
          <w:tcPr>
            <w:tcW w:type="dxa" w:w="2200"/>
            <w:shd w:fill="F8FAFC" w:val="clear"/>
            <w:tcMar>
              <w:top w:type="dxa" w:w="80"/>
              <w:left w:type="dxa" w:w="120"/>
              <w:bottom w:type="dxa" w:w="80"/>
              <w:right w:type="dxa" w:w="120"/>
            </w:tcMar>
          </w:tcPr>
          <w:p>
            <w:r>
              <w:rPr>
                <w:b w:val="false"/>
                <w:bCs w:val="false"/>
                <w:color w:val="111111"/>
                <w:sz w:val="20"/>
                <w:szCs w:val="20"/>
              </w:rPr>
              <w:t xml:space="preserve">Expired</w:t>
            </w:r>
          </w:p>
        </w:tc>
        <w:tc>
          <w:tcPr>
            <w:tcW w:type="dxa" w:w="7400"/>
            <w:shd w:fill="F8FAFC" w:val="clear"/>
            <w:tcMar>
              <w:top w:type="dxa" w:w="80"/>
              <w:left w:type="dxa" w:w="120"/>
              <w:bottom w:type="dxa" w:w="80"/>
              <w:right w:type="dxa" w:w="120"/>
            </w:tcMar>
          </w:tcPr>
          <w:p>
            <w:r>
              <w:rPr>
                <w:b w:val="false"/>
                <w:bCs w:val="false"/>
                <w:color w:val="111111"/>
                <w:sz w:val="20"/>
                <w:szCs w:val="20"/>
              </w:rPr>
              <w:t xml:space="preserve">No claim within 60 days — invite and associated contact data are deleted</w:t>
            </w:r>
          </w:p>
        </w:tc>
      </w:tr>
      <w:tr>
        <w:tc>
          <w:tcPr>
            <w:tcW w:type="dxa" w:w="2200"/>
            <w:tcMar>
              <w:top w:type="dxa" w:w="80"/>
              <w:left w:type="dxa" w:w="120"/>
              <w:bottom w:type="dxa" w:w="80"/>
              <w:right w:type="dxa" w:w="120"/>
            </w:tcMar>
          </w:tcPr>
          <w:p>
            <w:r>
              <w:rPr>
                <w:b w:val="false"/>
                <w:bCs w:val="false"/>
                <w:color w:val="111111"/>
                <w:sz w:val="20"/>
                <w:szCs w:val="20"/>
              </w:rPr>
              <w:t xml:space="preserve">Claimed</w:t>
            </w:r>
          </w:p>
        </w:tc>
        <w:tc>
          <w:tcPr>
            <w:tcW w:type="dxa" w:w="7400"/>
            <w:tcMar>
              <w:top w:type="dxa" w:w="80"/>
              <w:left w:type="dxa" w:w="120"/>
              <w:bottom w:type="dxa" w:w="80"/>
              <w:right w:type="dxa" w:w="120"/>
            </w:tcMar>
          </w:tcPr>
          <w:p>
            <w:r>
              <w:rPr>
                <w:b w:val="false"/>
                <w:bCs w:val="false"/>
                <w:color w:val="111111"/>
                <w:sz w:val="20"/>
                <w:szCs w:val="20"/>
              </w:rPr>
              <w:t xml:space="preserve">Tradesperson verified and the job converted to a standard confirmed job</w:t>
            </w:r>
          </w:p>
        </w:tc>
      </w:tr>
      <w:tr>
        <w:tc>
          <w:tcPr>
            <w:tcW w:type="dxa" w:w="2200"/>
            <w:shd w:fill="F8FAFC" w:val="clear"/>
            <w:tcMar>
              <w:top w:type="dxa" w:w="80"/>
              <w:left w:type="dxa" w:w="120"/>
              <w:bottom w:type="dxa" w:w="80"/>
              <w:right w:type="dxa" w:w="120"/>
            </w:tcMar>
          </w:tcPr>
          <w:p>
            <w:r>
              <w:rPr>
                <w:b w:val="false"/>
                <w:bCs w:val="false"/>
                <w:color w:val="111111"/>
                <w:sz w:val="20"/>
                <w:szCs w:val="20"/>
              </w:rPr>
              <w:t xml:space="preserve">Disputed</w:t>
            </w:r>
          </w:p>
        </w:tc>
        <w:tc>
          <w:tcPr>
            <w:tcW w:type="dxa" w:w="7400"/>
            <w:shd w:fill="F8FAFC" w:val="clear"/>
            <w:tcMar>
              <w:top w:type="dxa" w:w="80"/>
              <w:left w:type="dxa" w:w="120"/>
              <w:bottom w:type="dxa" w:w="80"/>
              <w:right w:type="dxa" w:w="120"/>
            </w:tcMar>
          </w:tcPr>
          <w:p>
            <w:r>
              <w:rPr>
                <w:b w:val="false"/>
                <w:bCs w:val="false"/>
                <w:color w:val="111111"/>
                <w:sz w:val="20"/>
                <w:szCs w:val="20"/>
              </w:rPr>
              <w:t xml:space="preserve">Claimed by a party the client did not intend, or contact details reported as incorrect</w:t>
            </w:r>
          </w:p>
        </w:tc>
      </w:tr>
    </w:tbl>
    <w:p>
      <w:pPr>
        <w:pStyle w:val="Heading3"/>
        <w:spacing w:after="100" w:before="200"/>
      </w:pPr>
      <w:r>
        <w:t xml:space="preserve">Rules and constraints</w:t>
      </w:r>
    </w:p>
    <w:p>
      <w:pPr>
        <w:pStyle w:val="ListParagraph"/>
        <w:numPr>
          <w:ilvl w:val="0"/>
          <w:numId w:val="2"/>
        </w:numPr>
        <w:spacing w:after="80"/>
      </w:pPr>
      <w:r>
        <w:t xml:space="preserve">No public-facing content is created pre-claim. There is no unclaimed profile page and no visible review — the invite is a private confirmation request only</w:t>
      </w:r>
    </w:p>
    <w:p>
      <w:pPr>
        <w:pStyle w:val="ListParagraph"/>
        <w:numPr>
          <w:ilvl w:val="0"/>
          <w:numId w:val="2"/>
        </w:numPr>
        <w:spacing w:after="80"/>
      </w:pPr>
      <w:r>
        <w:t xml:space="preserve">Review content is not entered at invite stage. The client is not writing a review at this point; they are requesting confirmation that a job took place. Reviews follow the same blind submission flow as any other confirmed job, after claim</w:t>
      </w:r>
    </w:p>
    <w:p>
      <w:pPr>
        <w:pStyle w:val="ListParagraph"/>
        <w:numPr>
          <w:ilvl w:val="0"/>
          <w:numId w:val="2"/>
        </w:numPr>
        <w:spacing w:after="80"/>
      </w:pPr>
      <w:r>
        <w:t xml:space="preserve">Invites expire 60 days after sending if unclaimed. Expired invites and any contact data held (phone number, email) are hard-deleted — the platform does not retain a third party's contact details indefinitely without their consent</w:t>
      </w:r>
    </w:p>
    <w:p>
      <w:pPr>
        <w:pStyle w:val="ListParagraph"/>
        <w:numPr>
          <w:ilvl w:val="0"/>
          <w:numId w:val="2"/>
        </w:numPr>
        <w:spacing w:after="80"/>
      </w:pPr>
      <w:r>
        <w:t xml:space="preserve">If a client submits multiple invites against the same phone number or email before it is claimed, these are deduplicated and stacked as multiple pending jobs against a single eventual claim, rather than creating separate invite threads</w:t>
      </w:r>
    </w:p>
    <w:p>
      <w:pPr>
        <w:pStyle w:val="ListParagraph"/>
        <w:numPr>
          <w:ilvl w:val="0"/>
          <w:numId w:val="2"/>
        </w:numPr>
        <w:spacing w:after="80"/>
      </w:pPr>
      <w:r>
        <w:t xml:space="preserve">Claim verification uses the same trust assumption already made for standard signup: control of the verified phone number or email constitutes identity. A “report incorrect claim” path is available on any job for either party to dispute after the fact</w:t>
      </w:r>
    </w:p>
    <w:p>
      <w:pPr>
        <w:pStyle w:val="Heading3"/>
        <w:spacing w:after="100" w:before="200"/>
      </w:pPr>
      <w:r>
        <w:t xml:space="preserve">Do not build (v1 of this module)</w:t>
      </w:r>
    </w:p>
    <w:p>
      <w:pPr>
        <w:pStyle w:val="ListParagraph"/>
        <w:numPr>
          <w:ilvl w:val="0"/>
          <w:numId w:val="2"/>
        </w:numPr>
        <w:spacing w:after="80"/>
      </w:pPr>
      <w:r>
        <w:t xml:space="preserve">No public-facing unclaimed profile page of any kind</w:t>
      </w:r>
    </w:p>
    <w:p>
      <w:pPr>
        <w:pStyle w:val="ListParagraph"/>
        <w:numPr>
          <w:ilvl w:val="0"/>
          <w:numId w:val="2"/>
        </w:numPr>
        <w:spacing w:after="80"/>
      </w:pPr>
      <w:r>
        <w:t xml:space="preserve">No review content collected at invite stage</w:t>
      </w:r>
    </w:p>
    <w:p>
      <w:pPr>
        <w:pStyle w:val="ListParagraph"/>
        <w:numPr>
          <w:ilvl w:val="0"/>
          <w:numId w:val="2"/>
        </w:numPr>
        <w:spacing w:after="80"/>
      </w:pPr>
      <w:r>
        <w:t xml:space="preserve">No SMS/email content beyond the claim link and a short job summary — keep messaging minimal, consistent with platform style</w:t>
      </w:r>
    </w:p>
    <w:p>
      <w:pPr>
        <w:pStyle w:val="ListParagraph"/>
        <w:numPr>
          <w:ilvl w:val="0"/>
          <w:numId w:val="2"/>
        </w:numPr>
        <w:spacing w:after="80"/>
      </w:pPr>
      <w:r>
        <w:t xml:space="preserve">No new notification channels — reuses existing Twilio Verify and Resend integrations</w:t>
      </w:r>
    </w:p>
    <w:p>
      <w:pPr>
        <w:pStyle w:val="Heading3"/>
        <w:spacing w:after="100" w:before="200"/>
      </w:pPr>
      <w:r>
        <w:t xml:space="preserve">Reused infrastructure</w:t>
      </w:r>
    </w:p>
    <w:p>
      <w:pPr>
        <w:spacing w:after="160"/>
      </w:pPr>
      <w:r>
        <w:t xml:space="preserve">Twilio Verify (OTP), Resend (email), existing job confirmation schema, existing blind review and 7-day auto-publish logic. This is an alternate entry point into the job confirmation flow already built — not a parallel system.</w:t>
      </w:r>
    </w:p>
    <w:p>
      <w:pPr>
        <w:pStyle w:val="Heading2"/>
        <w:spacing w:after="120" w:before="260"/>
      </w:pPr>
      <w:r>
        <w:t xml:space="preserve">4.8 Managing Operating Areas &amp; Boosted Districts (Pro)</w:t>
      </w:r>
    </w:p>
    <w:p>
      <w:pPr>
        <w:pStyle w:val="ListParagraph"/>
        <w:numPr>
          <w:ilvl w:val="0"/>
          <w:numId w:val="2"/>
        </w:numPr>
        <w:spacing w:after="80"/>
      </w:pPr>
      <w:r>
        <w:t xml:space="preserve">Tradesperson manages their Operating Areas (up to 20 postcode districts) from their profile at any time — freely editable, no cooldown, available at every tier</w:t>
      </w:r>
    </w:p>
    <w:p>
      <w:pPr>
        <w:pStyle w:val="ListParagraph"/>
        <w:numPr>
          <w:ilvl w:val="0"/>
          <w:numId w:val="2"/>
        </w:numPr>
        <w:spacing w:after="80"/>
      </w:pPr>
      <w:r>
        <w:t xml:space="preserve">Pro subscription includes 3 Boosted Districts, drawn only from districts already present in their Operating Areas</w:t>
      </w:r>
    </w:p>
    <w:p>
      <w:pPr>
        <w:spacing w:after="160"/>
      </w:pPr>
      <w:r>
        <w:t xml:space="preserve">Additional Boosted Districts beyond the included 3 are available as a paid add-on at </w:t>
      </w:r>
      <w:r>
        <w:rPr>
          <w:b/>
          <w:bCs/>
        </w:rPr>
        <w:t xml:space="preserve">£10/month per district</w:t>
      </w:r>
      <w:r>
        <w:t xml:space="preserve"> (see 5.1.1). Add-on districts are also drawn only from Operating Areas and follow the same cooldown and cascade rules as included districts — there is no separate mechanic for paid vs. included slots, only a different billing line.</w:t>
      </w:r>
    </w:p>
    <w:p>
      <w:pPr>
        <w:pStyle w:val="ListParagraph"/>
        <w:numPr>
          <w:ilvl w:val="0"/>
          <w:numId w:val="2"/>
        </w:numPr>
        <w:spacing w:after="80"/>
      </w:pPr>
      <w:r>
        <w:t xml:space="preserve">On first becoming Pro, the tradesperson is prompted to choose their initial 3 Boosted Districts as part of the upgrade flow, with the option to add further paid districts at the same step or at any point afterward</w:t>
      </w:r>
    </w:p>
    <w:p>
      <w:pPr>
        <w:pStyle w:val="ListParagraph"/>
        <w:numPr>
          <w:ilvl w:val="0"/>
          <w:numId w:val="2"/>
        </w:numPr>
        <w:spacing w:after="80"/>
      </w:pPr>
      <w:r>
        <w:t xml:space="preserve">Boosted Districts (included and paid add-on) can be changed no more than once every 30 days, aligned to the monthly billing cycle, to prevent chasing low-competition districts week to week</w:t>
      </w:r>
    </w:p>
    <w:p>
      <w:pPr>
        <w:pStyle w:val="ListParagraph"/>
        <w:numPr>
          <w:ilvl w:val="0"/>
          <w:numId w:val="2"/>
        </w:numPr>
        <w:spacing w:after="80"/>
      </w:pPr>
      <w:r>
        <w:t xml:space="preserve">Removing a district from Operating Areas automatically removes it from Boosted Districts if present (cascade) — a district cannot be boosted if it is not actively claimed as an operating area</w:t>
      </w:r>
    </w:p>
    <w:p>
      <w:pPr>
        <w:pStyle w:val="ListParagraph"/>
        <w:numPr>
          <w:ilvl w:val="0"/>
          <w:numId w:val="2"/>
        </w:numPr>
        <w:spacing w:after="80"/>
      </w:pPr>
      <w:r>
        <w:t xml:space="preserve">Dropping a paid add-on district removes its boosted status at the end of the current billing period, consistent with standard cancellation handling (see 5.5) — no partial refund, access retained until period end</w:t>
      </w:r>
    </w:p>
    <w:p>
      <w:pPr>
        <w:pStyle w:val="ListParagraph"/>
        <w:numPr>
          <w:ilvl w:val="0"/>
          <w:numId w:val="2"/>
        </w:numPr>
        <w:spacing w:after="80"/>
      </w:pPr>
      <w:r>
        <w:t xml:space="preserve">If a Pro subscription lapses or is cancelled, all Boosted Districts (included and paid add-on) are cleared and any add-on billing lines are cancelled. A returning Pro subscriber re-selects and re-purchases on their next active period rather than having a prior selection silently reinstated</w:t>
      </w:r>
    </w:p>
    <w:p>
      <w:pPr>
        <w:pStyle w:val="Heading2"/>
        <w:spacing w:after="120" w:before="260"/>
      </w:pPr>
      <w:r>
        <w:rPr>
          <w:b/>
          <w:bCs/>
          <w:color w:val="2563EB"/>
          <w:sz w:val="25"/>
          <w:szCs w:val="25"/>
        </w:rPr>
        <w:t xml:space="preserve">4.9 Adding and Claiming Seeded Trade Profiles (Admin)</w:t>
      </w:r>
      <w:r>
        <w:rPr>
          <w:b/>
          <w:bCs/>
          <w:color w:val="2563EB"/>
          <w:sz w:val="18"/>
          <w:szCs w:val="18"/>
        </w:rPr>
        <w:t xml:space="preserve">  NEW</w:t>
      </w:r>
    </w:p>
    <w:p>
      <w:pPr>
        <w:pStyle w:val="Heading3"/>
        <w:spacing w:after="100" w:before="200"/>
      </w:pPr>
      <w:r>
        <w:t xml:space="preserve">Admin: seeding a listing</w:t>
      </w:r>
    </w:p>
    <w:p>
      <w:pPr>
        <w:pStyle w:val="ListParagraph"/>
        <w:numPr>
          <w:ilvl w:val="0"/>
          <w:numId w:val="2"/>
        </w:numPr>
        <w:spacing w:after="80"/>
      </w:pPr>
      <w:r>
        <w:t xml:space="preserve">Admin manually adds a profile from /admin/seeded-profiles — business/trade name, trade category, one or more operating districts, contact method(s) if publicly available (phone and/or email), and a source note (e.g. “Google listing, Altrincham”) for the admin's own reference</w:t>
      </w:r>
    </w:p>
    <w:p>
      <w:pPr>
        <w:pStyle w:val="ListParagraph"/>
        <w:numPr>
          <w:ilvl w:val="0"/>
          <w:numId w:val="2"/>
        </w:numPr>
        <w:spacing w:after="80"/>
      </w:pPr>
      <w:r>
        <w:t xml:space="preserve">No bulk import or scraping tooling is built for v1 — each listing is added individually by an admin who has judged it worth including. This is a deliberate constraint, not a temporary limitation (see 2.7)</w:t>
      </w:r>
    </w:p>
    <w:p>
      <w:pPr>
        <w:pStyle w:val="ListParagraph"/>
        <w:numPr>
          <w:ilvl w:val="0"/>
          <w:numId w:val="2"/>
        </w:numPr>
        <w:spacing w:after="80"/>
      </w:pPr>
      <w:r>
        <w:t xml:space="preserve">On creation, the profile is set to unclaimed status and a public page is created immediately at /t/[slug], carrying the “Not yet on WorkedWith” label</w:t>
      </w:r>
    </w:p>
    <w:p>
      <w:pPr>
        <w:pStyle w:val="ListParagraph"/>
        <w:numPr>
          <w:ilvl w:val="0"/>
          <w:numId w:val="2"/>
        </w:numPr>
        <w:spacing w:after="80"/>
      </w:pPr>
      <w:r>
        <w:t xml:space="preserve">If a contact method was provided, an initial claim invite is sent immediately (see reminder cadence below). If no contact method is available, the page exists for SEO purposes only and no invite is sent until contact details are later added manually</w:t>
      </w:r>
    </w:p>
    <w:p>
      <w:pPr>
        <w:pStyle w:val="Heading3"/>
        <w:spacing w:after="100" w:before="200"/>
      </w:pPr>
      <w:r>
        <w:t xml:space="preserve">Claim flow</w:t>
      </w:r>
    </w:p>
    <w:p>
      <w:pPr>
        <w:pStyle w:val="ListParagraph"/>
        <w:numPr>
          <w:ilvl w:val="0"/>
          <w:numId w:val="2"/>
        </w:numPr>
        <w:spacing w:after="80"/>
      </w:pPr>
      <w:r>
        <w:t xml:space="preserve">The claim link (SMS and/or email, via the same Twilio/Resend infrastructure as 4.7) leads to /claim/[token], a dedicated profile-claim landing page — distinct from the job-based /invite/claim/[token] flow in 4.7, since no job is involved here</w:t>
      </w:r>
    </w:p>
    <w:p>
      <w:pPr>
        <w:pStyle w:val="ListParagraph"/>
        <w:numPr>
          <w:ilvl w:val="0"/>
          <w:numId w:val="2"/>
        </w:numPr>
        <w:spacing w:after="80"/>
      </w:pPr>
      <w:r>
        <w:t xml:space="preserve">The page identifies the business by the seeded details and offers two actions: “Yes, this is my business — claim it” (verifies via Twilio OTP or email token, then hands over full editing control, exactly as in 4.7) or “Not my listing / remove this page” (immediately deletes the profile and contact data, no login required)</w:t>
      </w:r>
    </w:p>
    <w:p>
      <w:pPr>
        <w:pStyle w:val="ListParagraph"/>
        <w:numPr>
          <w:ilvl w:val="0"/>
          <w:numId w:val="2"/>
        </w:numPr>
        <w:spacing w:after="80"/>
      </w:pPr>
      <w:r>
        <w:t xml:space="preserve">On claim, the trade lands directly in the standard onboarding flow (4.1) with the seeded fields pre-populated and fully editable — trade category, districts, bio, contact details can all be corrected or expanded immediately</w:t>
      </w:r>
    </w:p>
    <w:p>
      <w:pPr>
        <w:pStyle w:val="ListParagraph"/>
        <w:numPr>
          <w:ilvl w:val="0"/>
          <w:numId w:val="2"/>
        </w:numPr>
        <w:spacing w:after="80"/>
      </w:pPr>
      <w:r>
        <w:t xml:space="preserve">A claimed profile is a normal TradeProfile from that point on — no lingering seeded-record distinction, no residual restriction on subscribing to Standard or Pro</w:t>
      </w:r>
    </w:p>
    <w:p>
      <w:pPr>
        <w:pStyle w:val="Heading3"/>
        <w:spacing w:after="100" w:before="200"/>
      </w:pPr>
      <w:r>
        <w:t xml:space="preserve">Reminder cadence (unclaimed, contact details on file)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7400"/>
      </w:tblGrid>
      <w:tr>
        <w:trPr>
          <w:tblHeader/>
        </w:trPr>
        <w:tc>
          <w:tcPr>
            <w:tcW w:type="dxa" w:w="1400"/>
            <w:shd w:fill="1F2937" w:val="clear"/>
            <w:tcMar>
              <w:top w:type="dxa" w:w="80"/>
              <w:left w:type="dxa" w:w="120"/>
              <w:bottom w:type="dxa" w:w="80"/>
              <w:right w:type="dxa" w:w="120"/>
            </w:tcMar>
          </w:tcPr>
          <w:p>
            <w:r>
              <w:rPr>
                <w:b/>
                <w:bCs/>
                <w:color w:val="FFFFFF"/>
                <w:sz w:val="20"/>
                <w:szCs w:val="20"/>
              </w:rPr>
              <w:t xml:space="preserve">Day</w:t>
            </w:r>
          </w:p>
        </w:tc>
        <w:tc>
          <w:tcPr>
            <w:tcW w:type="dxa" w:w="7400"/>
            <w:shd w:fill="1F2937" w:val="clear"/>
            <w:tcMar>
              <w:top w:type="dxa" w:w="80"/>
              <w:left w:type="dxa" w:w="120"/>
              <w:bottom w:type="dxa" w:w="80"/>
              <w:right w:type="dxa" w:w="120"/>
            </w:tcMar>
          </w:tcPr>
          <w:p>
            <w:r>
              <w:rPr>
                <w:b/>
                <w:bCs/>
                <w:color w:val="FFFFFF"/>
                <w:sz w:val="20"/>
                <w:szCs w:val="20"/>
              </w:rPr>
              <w:t xml:space="preserve">Action</w:t>
            </w:r>
          </w:p>
        </w:tc>
      </w:tr>
      <w:tr>
        <w:tc>
          <w:tcPr>
            <w:tcW w:type="dxa" w:w="1400"/>
            <w:tcMar>
              <w:top w:type="dxa" w:w="80"/>
              <w:left w:type="dxa" w:w="120"/>
              <w:bottom w:type="dxa" w:w="80"/>
              <w:right w:type="dxa" w:w="120"/>
            </w:tcMar>
          </w:tcPr>
          <w:p>
            <w:r>
              <w:rPr>
                <w:b w:val="false"/>
                <w:bCs w:val="false"/>
                <w:color w:val="111111"/>
                <w:sz w:val="20"/>
                <w:szCs w:val="20"/>
              </w:rPr>
              <w:t xml:space="preserve">0</w:t>
            </w:r>
          </w:p>
        </w:tc>
        <w:tc>
          <w:tcPr>
            <w:tcW w:type="dxa" w:w="7400"/>
            <w:tcMar>
              <w:top w:type="dxa" w:w="80"/>
              <w:left w:type="dxa" w:w="120"/>
              <w:bottom w:type="dxa" w:w="80"/>
              <w:right w:type="dxa" w:w="120"/>
            </w:tcMar>
          </w:tcPr>
          <w:p>
            <w:r>
              <w:rPr>
                <w:b w:val="false"/>
                <w:bCs w:val="false"/>
                <w:color w:val="111111"/>
                <w:sz w:val="20"/>
                <w:szCs w:val="20"/>
              </w:rPr>
              <w:t xml:space="preserve">Listing created, initial claim invite sent (SMS and/or email per contact data held)</w:t>
            </w:r>
          </w:p>
        </w:tc>
      </w:tr>
      <w:tr>
        <w:tc>
          <w:tcPr>
            <w:tcW w:type="dxa" w:w="1400"/>
            <w:shd w:fill="F8FAFC" w:val="clear"/>
            <w:tcMar>
              <w:top w:type="dxa" w:w="80"/>
              <w:left w:type="dxa" w:w="120"/>
              <w:bottom w:type="dxa" w:w="80"/>
              <w:right w:type="dxa" w:w="120"/>
            </w:tcMar>
          </w:tcPr>
          <w:p>
            <w:r>
              <w:rPr>
                <w:b w:val="false"/>
                <w:bCs w:val="false"/>
                <w:color w:val="111111"/>
                <w:sz w:val="20"/>
                <w:szCs w:val="20"/>
              </w:rPr>
              <w:t xml:space="preserve">21</w:t>
            </w:r>
          </w:p>
        </w:tc>
        <w:tc>
          <w:tcPr>
            <w:tcW w:type="dxa" w:w="7400"/>
            <w:shd w:fill="F8FAFC" w:val="clear"/>
            <w:tcMar>
              <w:top w:type="dxa" w:w="80"/>
              <w:left w:type="dxa" w:w="120"/>
              <w:bottom w:type="dxa" w:w="80"/>
              <w:right w:type="dxa" w:w="120"/>
            </w:tcMar>
          </w:tcPr>
          <w:p>
            <w:r>
              <w:rPr>
                <w:b w:val="false"/>
                <w:bCs w:val="false"/>
                <w:color w:val="111111"/>
                <w:sz w:val="20"/>
                <w:szCs w:val="20"/>
              </w:rPr>
              <w:t xml:space="preserve">Reminder 1 — highlights platform benefits (verified reviews, vetting clients, free to claim)</w:t>
            </w:r>
          </w:p>
        </w:tc>
      </w:tr>
      <w:tr>
        <w:tc>
          <w:tcPr>
            <w:tcW w:type="dxa" w:w="1400"/>
            <w:tcMar>
              <w:top w:type="dxa" w:w="80"/>
              <w:left w:type="dxa" w:w="120"/>
              <w:bottom w:type="dxa" w:w="80"/>
              <w:right w:type="dxa" w:w="120"/>
            </w:tcMar>
          </w:tcPr>
          <w:p>
            <w:r>
              <w:rPr>
                <w:b w:val="false"/>
                <w:bCs w:val="false"/>
                <w:color w:val="111111"/>
                <w:sz w:val="20"/>
                <w:szCs w:val="20"/>
              </w:rPr>
              <w:t xml:space="preserve">42</w:t>
            </w:r>
          </w:p>
        </w:tc>
        <w:tc>
          <w:tcPr>
            <w:tcW w:type="dxa" w:w="7400"/>
            <w:tcMar>
              <w:top w:type="dxa" w:w="80"/>
              <w:left w:type="dxa" w:w="120"/>
              <w:bottom w:type="dxa" w:w="80"/>
              <w:right w:type="dxa" w:w="120"/>
            </w:tcMar>
          </w:tcPr>
          <w:p>
            <w:r>
              <w:rPr>
                <w:b w:val="false"/>
                <w:bCs w:val="false"/>
                <w:color w:val="111111"/>
                <w:sz w:val="20"/>
                <w:szCs w:val="20"/>
              </w:rPr>
              <w:t xml:space="preserve">Reminder 2 — same tone, restates the claim link</w:t>
            </w:r>
          </w:p>
        </w:tc>
      </w:tr>
      <w:tr>
        <w:tc>
          <w:tcPr>
            <w:tcW w:type="dxa" w:w="1400"/>
            <w:shd w:fill="F8FAFC" w:val="clear"/>
            <w:tcMar>
              <w:top w:type="dxa" w:w="80"/>
              <w:left w:type="dxa" w:w="120"/>
              <w:bottom w:type="dxa" w:w="80"/>
              <w:right w:type="dxa" w:w="120"/>
            </w:tcMar>
          </w:tcPr>
          <w:p>
            <w:r>
              <w:rPr>
                <w:b w:val="false"/>
                <w:bCs w:val="false"/>
                <w:color w:val="111111"/>
                <w:sz w:val="20"/>
                <w:szCs w:val="20"/>
              </w:rPr>
              <w:t xml:space="preserve">56</w:t>
            </w:r>
          </w:p>
        </w:tc>
        <w:tc>
          <w:tcPr>
            <w:tcW w:type="dxa" w:w="7400"/>
            <w:shd w:fill="F8FAFC" w:val="clear"/>
            <w:tcMar>
              <w:top w:type="dxa" w:w="80"/>
              <w:left w:type="dxa" w:w="120"/>
              <w:bottom w:type="dxa" w:w="80"/>
              <w:right w:type="dxa" w:w="120"/>
            </w:tcMar>
          </w:tcPr>
          <w:p>
            <w:r>
              <w:rPr>
                <w:b w:val="false"/>
                <w:bCs w:val="false"/>
                <w:color w:val="111111"/>
                <w:sz w:val="20"/>
                <w:szCs w:val="20"/>
              </w:rPr>
              <w:t xml:space="preserve">Final notice — states the listing will be removed in 4 days if unclaimed</w:t>
            </w:r>
          </w:p>
        </w:tc>
      </w:tr>
      <w:tr>
        <w:tc>
          <w:tcPr>
            <w:tcW w:type="dxa" w:w="1400"/>
            <w:tcMar>
              <w:top w:type="dxa" w:w="80"/>
              <w:left w:type="dxa" w:w="120"/>
              <w:bottom w:type="dxa" w:w="80"/>
              <w:right w:type="dxa" w:w="120"/>
            </w:tcMar>
          </w:tcPr>
          <w:p>
            <w:r>
              <w:rPr>
                <w:b w:val="false"/>
                <w:bCs w:val="false"/>
                <w:color w:val="111111"/>
                <w:sz w:val="20"/>
                <w:szCs w:val="20"/>
              </w:rPr>
              <w:t xml:space="preserve">60</w:t>
            </w:r>
          </w:p>
        </w:tc>
        <w:tc>
          <w:tcPr>
            <w:tcW w:type="dxa" w:w="7400"/>
            <w:tcMar>
              <w:top w:type="dxa" w:w="80"/>
              <w:left w:type="dxa" w:w="120"/>
              <w:bottom w:type="dxa" w:w="80"/>
              <w:right w:type="dxa" w:w="120"/>
            </w:tcMar>
          </w:tcPr>
          <w:p>
            <w:r>
              <w:rPr>
                <w:b w:val="false"/>
                <w:bCs w:val="false"/>
                <w:color w:val="111111"/>
                <w:sz w:val="20"/>
                <w:szCs w:val="20"/>
              </w:rPr>
              <w:t xml:space="preserve">Unclaimed listing and all associated contact data are hard-deleted (see 7.6)</w:t>
            </w:r>
          </w:p>
        </w:tc>
      </w:tr>
    </w:tbl>
    <w:p>
      <w:pPr>
        <w:spacing w:after="160"/>
      </w:pPr>
      <w:r>
        <w:t xml:space="preserve">Every email in the cadence carries a clear, one-click “Remove my listing &amp; don't contact me again” link that requires no login. </w:t>
      </w:r>
      <w:r>
        <w:rPr>
          <w:b/>
          <w:bCs/>
        </w:rPr>
        <w:t xml:space="preserve">This is a hard requirement, not a nice-to-have</w:t>
      </w:r>
      <w:r>
        <w:t xml:space="preserve"> — the platform is reaching out uninvited, and the tone throughout should read as “we think you'd do well here, no obligation” rather than a sales sequence. Removal via this link also adds the contact details to a do-not-reseed list (see 7.6) so the same business is not accidentally seeded again later.</w:t>
      </w:r>
    </w:p>
    <w:p>
      <w:pPr>
        <w:pStyle w:val="Heading1"/>
        <w:spacing w:after="160" w:before="360"/>
      </w:pPr>
      <w:r>
        <w:t xml:space="preserve">5. Subscription Model</w:t>
      </w:r>
    </w:p>
    <w:p>
      <w:pPr>
        <w:spacing w:after="160"/>
      </w:pPr>
      <w:r>
        <w:t xml:space="preserve">WorkedWith operates a three-tier subscription model for tradespeople. Clients are always free. The subscription model is tradesperson-facing only.</w:t>
      </w:r>
    </w:p>
    <w:p>
      <w:pPr>
        <w:pStyle w:val="Heading2"/>
        <w:spacing w:after="120" w:before="260"/>
      </w:pPr>
      <w:r>
        <w:t xml:space="preserve">5.1 Pricing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3000"/>
      </w:tblGrid>
      <w:tr>
        <w:trPr>
          <w:tblHeader/>
        </w:trPr>
        <w:tc>
          <w:tcPr>
            <w:tcW w:type="dxa" w:w="1600"/>
            <w:shd w:fill="1F2937" w:val="clear"/>
            <w:tcMar>
              <w:top w:type="dxa" w:w="80"/>
              <w:left w:type="dxa" w:w="120"/>
              <w:bottom w:type="dxa" w:w="80"/>
              <w:right w:type="dxa" w:w="120"/>
            </w:tcMar>
          </w:tcPr>
          <w:p>
            <w:r>
              <w:rPr>
                <w:b/>
                <w:bCs/>
                <w:color w:val="FFFFFF"/>
                <w:sz w:val="20"/>
                <w:szCs w:val="20"/>
              </w:rPr>
              <w:t xml:space="preserve">Tier</w:t>
            </w:r>
          </w:p>
        </w:tc>
        <w:tc>
          <w:tcPr>
            <w:tcW w:type="dxa" w:w="2200"/>
            <w:shd w:fill="1F2937" w:val="clear"/>
            <w:tcMar>
              <w:top w:type="dxa" w:w="80"/>
              <w:left w:type="dxa" w:w="120"/>
              <w:bottom w:type="dxa" w:w="80"/>
              <w:right w:type="dxa" w:w="120"/>
            </w:tcMar>
          </w:tcPr>
          <w:p>
            <w:r>
              <w:rPr>
                <w:b/>
                <w:bCs/>
                <w:color w:val="FFFFFF"/>
                <w:sz w:val="20"/>
                <w:szCs w:val="20"/>
              </w:rPr>
              <w:t xml:space="preserve">Monthly</w:t>
            </w:r>
          </w:p>
        </w:tc>
        <w:tc>
          <w:tcPr>
            <w:tcW w:type="dxa" w:w="2600"/>
            <w:shd w:fill="1F2937" w:val="clear"/>
            <w:tcMar>
              <w:top w:type="dxa" w:w="80"/>
              <w:left w:type="dxa" w:w="120"/>
              <w:bottom w:type="dxa" w:w="80"/>
              <w:right w:type="dxa" w:w="120"/>
            </w:tcMar>
          </w:tcPr>
          <w:p>
            <w:r>
              <w:rPr>
                <w:b/>
                <w:bCs/>
                <w:color w:val="FFFFFF"/>
                <w:sz w:val="20"/>
                <w:szCs w:val="20"/>
              </w:rPr>
              <w:t xml:space="preserve">Annual</w:t>
            </w:r>
          </w:p>
        </w:tc>
        <w:tc>
          <w:tcPr>
            <w:tcW w:type="dxa" w:w="3000"/>
            <w:shd w:fill="1F2937" w:val="clear"/>
            <w:tcMar>
              <w:top w:type="dxa" w:w="80"/>
              <w:left w:type="dxa" w:w="120"/>
              <w:bottom w:type="dxa" w:w="80"/>
              <w:right w:type="dxa" w:w="120"/>
            </w:tcMar>
          </w:tcPr>
          <w:p>
            <w:r>
              <w:rPr>
                <w:b/>
                <w:bCs/>
                <w:color w:val="FFFFFF"/>
                <w:sz w:val="20"/>
                <w:szCs w:val="20"/>
              </w:rPr>
              <w:t xml:space="preserve">Purpose</w:t>
            </w:r>
          </w:p>
        </w:tc>
      </w:tr>
      <w:tr>
        <w:tc>
          <w:tcPr>
            <w:tcW w:type="dxa" w:w="1600"/>
            <w:tcMar>
              <w:top w:type="dxa" w:w="80"/>
              <w:left w:type="dxa" w:w="120"/>
              <w:bottom w:type="dxa" w:w="80"/>
              <w:right w:type="dxa" w:w="120"/>
            </w:tcMar>
          </w:tcPr>
          <w:p>
            <w:r>
              <w:rPr>
                <w:b w:val="false"/>
                <w:bCs w:val="false"/>
                <w:color w:val="111111"/>
                <w:sz w:val="20"/>
                <w:szCs w:val="20"/>
              </w:rPr>
              <w:t xml:space="preserve">Free</w:t>
            </w:r>
          </w:p>
        </w:tc>
        <w:tc>
          <w:tcPr>
            <w:tcW w:type="dxa" w:w="2200"/>
            <w:tcMar>
              <w:top w:type="dxa" w:w="80"/>
              <w:left w:type="dxa" w:w="120"/>
              <w:bottom w:type="dxa" w:w="80"/>
              <w:right w:type="dxa" w:w="120"/>
            </w:tcMar>
          </w:tcPr>
          <w:p>
            <w:r>
              <w:rPr>
                <w:b w:val="false"/>
                <w:bCs w:val="false"/>
                <w:color w:val="111111"/>
                <w:sz w:val="20"/>
                <w:szCs w:val="20"/>
              </w:rPr>
              <w:t xml:space="preserve">£0</w:t>
            </w:r>
          </w:p>
        </w:tc>
        <w:tc>
          <w:tcPr>
            <w:tcW w:type="dxa" w:w="2600"/>
            <w:tcMar>
              <w:top w:type="dxa" w:w="80"/>
              <w:left w:type="dxa" w:w="120"/>
              <w:bottom w:type="dxa" w:w="80"/>
              <w:right w:type="dxa" w:w="120"/>
            </w:tcMar>
          </w:tcPr>
          <w:p>
            <w:r>
              <w:rPr>
                <w:b w:val="false"/>
                <w:bCs w:val="false"/>
                <w:color w:val="111111"/>
                <w:sz w:val="20"/>
                <w:szCs w:val="20"/>
              </w:rPr>
              <w:t xml:space="preserve">Free forever</w:t>
            </w:r>
          </w:p>
        </w:tc>
        <w:tc>
          <w:tcPr>
            <w:tcW w:type="dxa" w:w="3000"/>
            <w:tcMar>
              <w:top w:type="dxa" w:w="80"/>
              <w:left w:type="dxa" w:w="120"/>
              <w:bottom w:type="dxa" w:w="80"/>
              <w:right w:type="dxa" w:w="120"/>
            </w:tcMar>
          </w:tcPr>
          <w:p>
            <w:r>
              <w:rPr>
                <w:b w:val="false"/>
                <w:bCs w:val="false"/>
                <w:color w:val="111111"/>
                <w:sz w:val="20"/>
                <w:szCs w:val="20"/>
              </w:rPr>
              <w:t xml:space="preserve">Permanent fully functional tier — not a trial</w:t>
            </w:r>
          </w:p>
        </w:tc>
      </w:tr>
      <w:tr>
        <w:tc>
          <w:tcPr>
            <w:tcW w:type="dxa" w:w="1600"/>
            <w:shd w:fill="F8FAFC" w:val="clear"/>
            <w:tcMar>
              <w:top w:type="dxa" w:w="80"/>
              <w:left w:type="dxa" w:w="120"/>
              <w:bottom w:type="dxa" w:w="80"/>
              <w:right w:type="dxa" w:w="120"/>
            </w:tcMar>
          </w:tcPr>
          <w:p>
            <w:r>
              <w:rPr>
                <w:b w:val="false"/>
                <w:bCs w:val="false"/>
                <w:color w:val="111111"/>
                <w:sz w:val="20"/>
                <w:szCs w:val="20"/>
              </w:rPr>
              <w:t xml:space="preserve">Standard</w:t>
            </w:r>
          </w:p>
        </w:tc>
        <w:tc>
          <w:tcPr>
            <w:tcW w:type="dxa" w:w="2200"/>
            <w:shd w:fill="F8FAFC" w:val="clear"/>
            <w:tcMar>
              <w:top w:type="dxa" w:w="80"/>
              <w:left w:type="dxa" w:w="120"/>
              <w:bottom w:type="dxa" w:w="80"/>
              <w:right w:type="dxa" w:w="120"/>
            </w:tcMar>
          </w:tcPr>
          <w:p>
            <w:r>
              <w:rPr>
                <w:b w:val="false"/>
                <w:bCs w:val="false"/>
                <w:color w:val="111111"/>
                <w:sz w:val="20"/>
                <w:szCs w:val="20"/>
              </w:rPr>
              <w:t xml:space="preserve">£9.99/month</w:t>
            </w:r>
          </w:p>
        </w:tc>
        <w:tc>
          <w:tcPr>
            <w:tcW w:type="dxa" w:w="2600"/>
            <w:shd w:fill="F8FAFC" w:val="clear"/>
            <w:tcMar>
              <w:top w:type="dxa" w:w="80"/>
              <w:left w:type="dxa" w:w="120"/>
              <w:bottom w:type="dxa" w:w="80"/>
              <w:right w:type="dxa" w:w="120"/>
            </w:tcMar>
          </w:tcPr>
          <w:p>
            <w:r>
              <w:rPr>
                <w:b w:val="false"/>
                <w:bCs w:val="false"/>
                <w:color w:val="111111"/>
                <w:sz w:val="20"/>
                <w:szCs w:val="20"/>
              </w:rPr>
              <w:t xml:space="preserve">£99.90/year (save £19.98)</w:t>
            </w:r>
          </w:p>
        </w:tc>
        <w:tc>
          <w:tcPr>
            <w:tcW w:type="dxa" w:w="3000"/>
            <w:shd w:fill="F8FAFC" w:val="clear"/>
            <w:tcMar>
              <w:top w:type="dxa" w:w="80"/>
              <w:left w:type="dxa" w:w="120"/>
              <w:bottom w:type="dxa" w:w="80"/>
              <w:right w:type="dxa" w:w="120"/>
            </w:tcMar>
          </w:tcPr>
          <w:p>
            <w:r>
              <w:rPr>
                <w:b w:val="false"/>
                <w:bCs w:val="false"/>
                <w:color w:val="111111"/>
                <w:sz w:val="20"/>
                <w:szCs w:val="20"/>
              </w:rPr>
              <w:t xml:space="preserve">Information and credibility tools</w:t>
            </w:r>
          </w:p>
        </w:tc>
      </w:tr>
      <w:tr>
        <w:tc>
          <w:tcPr>
            <w:tcW w:type="dxa" w:w="1600"/>
            <w:tcMar>
              <w:top w:type="dxa" w:w="80"/>
              <w:left w:type="dxa" w:w="120"/>
              <w:bottom w:type="dxa" w:w="80"/>
              <w:right w:type="dxa" w:w="120"/>
            </w:tcMar>
          </w:tcPr>
          <w:p>
            <w:r>
              <w:rPr>
                <w:b w:val="false"/>
                <w:bCs w:val="false"/>
                <w:color w:val="111111"/>
                <w:sz w:val="20"/>
                <w:szCs w:val="20"/>
              </w:rPr>
              <w:t xml:space="preserve">Pro</w:t>
            </w:r>
          </w:p>
        </w:tc>
        <w:tc>
          <w:tcPr>
            <w:tcW w:type="dxa" w:w="2200"/>
            <w:tcMar>
              <w:top w:type="dxa" w:w="80"/>
              <w:left w:type="dxa" w:w="120"/>
              <w:bottom w:type="dxa" w:w="80"/>
              <w:right w:type="dxa" w:w="120"/>
            </w:tcMar>
          </w:tcPr>
          <w:p>
            <w:r>
              <w:rPr>
                <w:b w:val="false"/>
                <w:bCs w:val="false"/>
                <w:color w:val="111111"/>
                <w:sz w:val="20"/>
                <w:szCs w:val="20"/>
              </w:rPr>
              <w:t xml:space="preserve">£39.99/month</w:t>
            </w:r>
          </w:p>
        </w:tc>
        <w:tc>
          <w:tcPr>
            <w:tcW w:type="dxa" w:w="2600"/>
            <w:tcMar>
              <w:top w:type="dxa" w:w="80"/>
              <w:left w:type="dxa" w:w="120"/>
              <w:bottom w:type="dxa" w:w="80"/>
              <w:right w:type="dxa" w:w="120"/>
            </w:tcMar>
          </w:tcPr>
          <w:p>
            <w:r>
              <w:rPr>
                <w:b w:val="false"/>
                <w:bCs w:val="false"/>
                <w:color w:val="111111"/>
                <w:sz w:val="20"/>
                <w:szCs w:val="20"/>
              </w:rPr>
              <w:t xml:space="preserve">£399.90/year (save £79.98)</w:t>
            </w:r>
          </w:p>
        </w:tc>
        <w:tc>
          <w:tcPr>
            <w:tcW w:type="dxa" w:w="3000"/>
            <w:tcMar>
              <w:top w:type="dxa" w:w="80"/>
              <w:left w:type="dxa" w:w="120"/>
              <w:bottom w:type="dxa" w:w="80"/>
              <w:right w:type="dxa" w:w="120"/>
            </w:tcMar>
          </w:tcPr>
          <w:p>
            <w:r>
              <w:rPr>
                <w:b w:val="false"/>
                <w:bCs w:val="false"/>
                <w:color w:val="111111"/>
                <w:sz w:val="20"/>
                <w:szCs w:val="20"/>
              </w:rPr>
              <w:t xml:space="preserve">Maximum visibility and analytics</w:t>
            </w:r>
          </w:p>
        </w:tc>
      </w:tr>
    </w:tbl>
    <w:p>
      <w:pPr>
        <w:spacing w:after="160"/>
      </w:pPr>
      <w:r>
        <w:t xml:space="preserve">There is no trial period for Standard or Pro. The Free tier is the trial. It is a permanent, fully functional tier with genuine utility — not a time-limited preview.</w:t>
      </w:r>
    </w:p>
    <w:p>
      <w:pPr>
        <w:pStyle w:val="Heading3"/>
        <w:spacing w:after="100" w:before="200"/>
      </w:pPr>
      <w:r>
        <w:t xml:space="preserve">5.1.1 Boosted District Add-On</w:t>
      </w:r>
    </w:p>
    <w:p>
      <w:pPr>
        <w:spacing w:after="160"/>
      </w:pPr>
      <w:r>
        <w:t xml:space="preserve">Pro includes 3 Boosted Districts. Tradespeople who operate — and want top placement — across a wider patch can purchase additional Boosted Districts beyond the included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00"/>
      </w:tblGrid>
      <w:tr>
        <w:trPr>
          <w:tblHeader/>
        </w:trPr>
        <w:tc>
          <w:tcPr>
            <w:tcW w:type="dxa" w:w="2800"/>
            <w:shd w:fill="1F2937" w:val="clear"/>
            <w:tcMar>
              <w:top w:type="dxa" w:w="80"/>
              <w:left w:type="dxa" w:w="120"/>
              <w:bottom w:type="dxa" w:w="80"/>
              <w:right w:type="dxa" w:w="120"/>
            </w:tcMar>
          </w:tcPr>
          <w:p>
            <w:r>
              <w:rPr>
                <w:b/>
                <w:bCs/>
                <w:color w:val="FFFFFF"/>
                <w:sz w:val="20"/>
                <w:szCs w:val="20"/>
              </w:rPr>
              <w:t xml:space="preserve">Add-on</w:t>
            </w:r>
          </w:p>
        </w:tc>
        <w:tc>
          <w:tcPr>
            <w:tcW w:type="dxa" w:w="2400"/>
            <w:shd w:fill="1F2937" w:val="clear"/>
            <w:tcMar>
              <w:top w:type="dxa" w:w="80"/>
              <w:left w:type="dxa" w:w="120"/>
              <w:bottom w:type="dxa" w:w="80"/>
              <w:right w:type="dxa" w:w="120"/>
            </w:tcMar>
          </w:tcPr>
          <w:p>
            <w:r>
              <w:rPr>
                <w:b/>
                <w:bCs/>
                <w:color w:val="FFFFFF"/>
                <w:sz w:val="20"/>
                <w:szCs w:val="20"/>
              </w:rPr>
              <w:t xml:space="preserve">Price</w:t>
            </w:r>
          </w:p>
        </w:tc>
        <w:tc>
          <w:tcPr>
            <w:tcW w:type="dxa" w:w="4400"/>
            <w:shd w:fill="1F2937" w:val="clear"/>
            <w:tcMar>
              <w:top w:type="dxa" w:w="80"/>
              <w:left w:type="dxa" w:w="120"/>
              <w:bottom w:type="dxa" w:w="80"/>
              <w:right w:type="dxa" w:w="120"/>
            </w:tcMar>
          </w:tcPr>
          <w:p>
            <w:r>
              <w:rPr>
                <w:b/>
                <w:bCs/>
                <w:color w:val="FFFFFF"/>
                <w:sz w:val="20"/>
                <w:szCs w:val="20"/>
              </w:rPr>
              <w:t xml:space="preserve">Notes</w:t>
            </w:r>
          </w:p>
        </w:tc>
      </w:tr>
      <w:tr>
        <w:tc>
          <w:tcPr>
            <w:tcW w:type="dxa" w:w="2800"/>
            <w:tcMar>
              <w:top w:type="dxa" w:w="80"/>
              <w:left w:type="dxa" w:w="120"/>
              <w:bottom w:type="dxa" w:w="80"/>
              <w:right w:type="dxa" w:w="120"/>
            </w:tcMar>
          </w:tcPr>
          <w:p>
            <w:r>
              <w:rPr>
                <w:b w:val="false"/>
                <w:bCs w:val="false"/>
                <w:color w:val="111111"/>
                <w:sz w:val="20"/>
                <w:szCs w:val="20"/>
              </w:rPr>
              <w:t xml:space="preserve">Additional Boosted District</w:t>
            </w:r>
          </w:p>
        </w:tc>
        <w:tc>
          <w:tcPr>
            <w:tcW w:type="dxa" w:w="2400"/>
            <w:tcMar>
              <w:top w:type="dxa" w:w="80"/>
              <w:left w:type="dxa" w:w="120"/>
              <w:bottom w:type="dxa" w:w="80"/>
              <w:right w:type="dxa" w:w="120"/>
            </w:tcMar>
          </w:tcPr>
          <w:p>
            <w:r>
              <w:rPr>
                <w:b w:val="false"/>
                <w:bCs w:val="false"/>
                <w:color w:val="111111"/>
                <w:sz w:val="20"/>
                <w:szCs w:val="20"/>
              </w:rPr>
              <w:t xml:space="preserve">£10/month per district</w:t>
            </w:r>
          </w:p>
        </w:tc>
        <w:tc>
          <w:tcPr>
            <w:tcW w:type="dxa" w:w="4400"/>
            <w:tcMar>
              <w:top w:type="dxa" w:w="80"/>
              <w:left w:type="dxa" w:w="120"/>
              <w:bottom w:type="dxa" w:w="80"/>
              <w:right w:type="dxa" w:w="120"/>
            </w:tcMar>
          </w:tcPr>
          <w:p>
            <w:r>
              <w:rPr>
                <w:b w:val="false"/>
                <w:bCs w:val="false"/>
                <w:color w:val="111111"/>
                <w:sz w:val="20"/>
                <w:szCs w:val="20"/>
              </w:rPr>
              <w:t xml:space="preserve">Billed alongside the Pro subscription. Quantity can be increased or decreased, subject to the same 30-day change cooldown as included districts (see 4.8).</w:t>
            </w:r>
          </w:p>
        </w:tc>
      </w:tr>
    </w:tbl>
    <w:p>
      <w:pPr>
        <w:spacing w:after="160"/>
      </w:pPr>
      <w:r>
        <w:t xml:space="preserve">Pricing rationale: £39.99 ÷ 3 included districts ≈ £13.33 per district embedded in the base Pro price. The £10/month add-on rate sits below this, so expanding coverage reads as a fair extension of the base plan rather than a penalty for wanting more reach. Add-on districts are only available to active Pro subscribers — they cannot be purchased independently of a Pro subscription, and are cancelled automatically if Pro is cancelled or lapses (see 4.8, 5.5).</w:t>
      </w:r>
    </w:p>
    <w:p>
      <w:pPr>
        <w:pStyle w:val="Heading2"/>
        <w:spacing w:after="120" w:before="260"/>
      </w:pPr>
      <w:r>
        <w:t xml:space="preserve">5.2 Feature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500"/>
      </w:tblGrid>
      <w:tr>
        <w:trPr>
          <w:tblHeader/>
        </w:trPr>
        <w:tc>
          <w:tcPr>
            <w:tcW w:type="dxa" w:w="3200"/>
            <w:shd w:fill="1F2937" w:val="clear"/>
            <w:tcMar>
              <w:top w:type="dxa" w:w="80"/>
              <w:left w:type="dxa" w:w="120"/>
              <w:bottom w:type="dxa" w:w="80"/>
              <w:right w:type="dxa" w:w="120"/>
            </w:tcMar>
          </w:tcPr>
          <w:p>
            <w:r>
              <w:rPr>
                <w:b/>
                <w:bCs/>
                <w:color w:val="FFFFFF"/>
                <w:sz w:val="20"/>
                <w:szCs w:val="20"/>
              </w:rPr>
              <w:t xml:space="preserve">Feature</w:t>
            </w:r>
          </w:p>
        </w:tc>
        <w:tc>
          <w:tcPr>
            <w:tcW w:type="dxa" w:w="1900"/>
            <w:shd w:fill="1F2937" w:val="clear"/>
            <w:tcMar>
              <w:top w:type="dxa" w:w="80"/>
              <w:left w:type="dxa" w:w="120"/>
              <w:bottom w:type="dxa" w:w="80"/>
              <w:right w:type="dxa" w:w="120"/>
            </w:tcMar>
          </w:tcPr>
          <w:p>
            <w:r>
              <w:rPr>
                <w:b/>
                <w:bCs/>
                <w:color w:val="FFFFFF"/>
                <w:sz w:val="20"/>
                <w:szCs w:val="20"/>
              </w:rPr>
              <w:t xml:space="preserve">Free</w:t>
            </w:r>
          </w:p>
        </w:tc>
        <w:tc>
          <w:tcPr>
            <w:tcW w:type="dxa" w:w="1900"/>
            <w:shd w:fill="1F2937" w:val="clear"/>
            <w:tcMar>
              <w:top w:type="dxa" w:w="80"/>
              <w:left w:type="dxa" w:w="120"/>
              <w:bottom w:type="dxa" w:w="80"/>
              <w:right w:type="dxa" w:w="120"/>
            </w:tcMar>
          </w:tcPr>
          <w:p>
            <w:r>
              <w:rPr>
                <w:b/>
                <w:bCs/>
                <w:color w:val="FFFFFF"/>
                <w:sz w:val="20"/>
                <w:szCs w:val="20"/>
              </w:rPr>
              <w:t xml:space="preserve">Standard</w:t>
            </w:r>
          </w:p>
        </w:tc>
        <w:tc>
          <w:tcPr>
            <w:tcW w:type="dxa" w:w="2500"/>
            <w:shd w:fill="1F2937" w:val="clear"/>
            <w:tcMar>
              <w:top w:type="dxa" w:w="80"/>
              <w:left w:type="dxa" w:w="120"/>
              <w:bottom w:type="dxa" w:w="80"/>
              <w:right w:type="dxa" w:w="120"/>
            </w:tcMar>
          </w:tcPr>
          <w:p>
            <w:r>
              <w:rPr>
                <w:b/>
                <w:bCs/>
                <w:color w:val="FFFFFF"/>
                <w:sz w:val="20"/>
                <w:szCs w:val="20"/>
              </w:rPr>
              <w:t xml:space="preserve">Pro</w:t>
            </w:r>
          </w:p>
        </w:tc>
      </w:tr>
      <w:tr>
        <w:tc>
          <w:tcPr>
            <w:tcW w:type="dxa" w:w="3200"/>
            <w:tcMar>
              <w:top w:type="dxa" w:w="80"/>
              <w:left w:type="dxa" w:w="120"/>
              <w:bottom w:type="dxa" w:w="80"/>
              <w:right w:type="dxa" w:w="120"/>
            </w:tcMar>
          </w:tcPr>
          <w:p>
            <w:r>
              <w:rPr>
                <w:b w:val="false"/>
                <w:bCs w:val="false"/>
                <w:color w:val="111111"/>
                <w:sz w:val="20"/>
                <w:szCs w:val="20"/>
              </w:rPr>
              <w:t xml:space="preserve">Operating Areas (postcode districts)</w:t>
            </w:r>
          </w:p>
        </w:tc>
        <w:tc>
          <w:tcPr>
            <w:tcW w:type="dxa" w:w="1900"/>
            <w:tcMar>
              <w:top w:type="dxa" w:w="80"/>
              <w:left w:type="dxa" w:w="120"/>
              <w:bottom w:type="dxa" w:w="80"/>
              <w:right w:type="dxa" w:w="120"/>
            </w:tcMar>
          </w:tcPr>
          <w:p>
            <w:r>
              <w:rPr>
                <w:b w:val="false"/>
                <w:bCs w:val="false"/>
                <w:color w:val="111111"/>
                <w:sz w:val="20"/>
                <w:szCs w:val="20"/>
              </w:rPr>
              <w:t xml:space="preserve">✓ Up to 20</w:t>
            </w:r>
          </w:p>
        </w:tc>
        <w:tc>
          <w:tcPr>
            <w:tcW w:type="dxa" w:w="1900"/>
            <w:tcMar>
              <w:top w:type="dxa" w:w="80"/>
              <w:left w:type="dxa" w:w="120"/>
              <w:bottom w:type="dxa" w:w="80"/>
              <w:right w:type="dxa" w:w="120"/>
            </w:tcMar>
          </w:tcPr>
          <w:p>
            <w:r>
              <w:rPr>
                <w:b w:val="false"/>
                <w:bCs w:val="false"/>
                <w:color w:val="111111"/>
                <w:sz w:val="20"/>
                <w:szCs w:val="20"/>
              </w:rPr>
              <w:t xml:space="preserve">✓ Up to 20</w:t>
            </w:r>
          </w:p>
        </w:tc>
        <w:tc>
          <w:tcPr>
            <w:tcW w:type="dxa" w:w="2500"/>
            <w:tcMar>
              <w:top w:type="dxa" w:w="80"/>
              <w:left w:type="dxa" w:w="120"/>
              <w:bottom w:type="dxa" w:w="80"/>
              <w:right w:type="dxa" w:w="120"/>
            </w:tcMar>
          </w:tcPr>
          <w:p>
            <w:r>
              <w:rPr>
                <w:b w:val="false"/>
                <w:bCs w:val="false"/>
                <w:color w:val="111111"/>
                <w:sz w:val="20"/>
                <w:szCs w:val="20"/>
              </w:rPr>
              <w:t xml:space="preserve">✓ Up to 20</w:t>
            </w:r>
          </w:p>
        </w:tc>
      </w:tr>
      <w:tr>
        <w:tc>
          <w:tcPr>
            <w:tcW w:type="dxa" w:w="3200"/>
            <w:shd w:fill="F8FAFC" w:val="clear"/>
            <w:tcMar>
              <w:top w:type="dxa" w:w="80"/>
              <w:left w:type="dxa" w:w="120"/>
              <w:bottom w:type="dxa" w:w="80"/>
              <w:right w:type="dxa" w:w="120"/>
            </w:tcMar>
          </w:tcPr>
          <w:p>
            <w:r>
              <w:rPr>
                <w:b w:val="false"/>
                <w:bCs w:val="false"/>
                <w:color w:val="111111"/>
                <w:sz w:val="20"/>
                <w:szCs w:val="20"/>
              </w:rPr>
              <w:t xml:space="preserve">Appear in search results</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 Equal with Standard</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 Equal with Free</w:t>
            </w:r>
          </w:p>
        </w:tc>
        <w:tc>
          <w:tcPr>
            <w:tcW w:type="dxa" w:w="2500"/>
            <w:shd w:fill="F8FAFC" w:val="clear"/>
            <w:tcMar>
              <w:top w:type="dxa" w:w="80"/>
              <w:left w:type="dxa" w:w="120"/>
              <w:bottom w:type="dxa" w:w="80"/>
              <w:right w:type="dxa" w:w="120"/>
            </w:tcMar>
          </w:tcPr>
          <w:p>
            <w:r>
              <w:rPr>
                <w:b w:val="false"/>
                <w:bCs w:val="false"/>
                <w:color w:val="111111"/>
                <w:sz w:val="20"/>
                <w:szCs w:val="20"/>
              </w:rPr>
              <w:t xml:space="preserve">✓ Standard placement, plus boosted top position in chosen districts</w:t>
            </w:r>
          </w:p>
        </w:tc>
      </w:tr>
      <w:tr>
        <w:tc>
          <w:tcPr>
            <w:tcW w:type="dxa" w:w="3200"/>
            <w:tcMar>
              <w:top w:type="dxa" w:w="80"/>
              <w:left w:type="dxa" w:w="120"/>
              <w:bottom w:type="dxa" w:w="80"/>
              <w:right w:type="dxa" w:w="120"/>
            </w:tcMar>
          </w:tcPr>
          <w:p>
            <w:r>
              <w:rPr>
                <w:b w:val="false"/>
                <w:bCs w:val="false"/>
                <w:color w:val="111111"/>
                <w:sz w:val="20"/>
                <w:szCs w:val="20"/>
              </w:rPr>
              <w:t xml:space="preserve">Boosted Districts (top-of-search)</w:t>
            </w:r>
          </w:p>
        </w:tc>
        <w:tc>
          <w:tcPr>
            <w:tcW w:type="dxa" w:w="1900"/>
            <w:tcMar>
              <w:top w:type="dxa" w:w="80"/>
              <w:left w:type="dxa" w:w="120"/>
              <w:bottom w:type="dxa" w:w="80"/>
              <w:right w:type="dxa" w:w="120"/>
            </w:tcMar>
          </w:tcPr>
          <w:p>
            <w:r>
              <w:rPr>
                <w:b w:val="false"/>
                <w:bCs w:val="false"/>
                <w:color w:val="111111"/>
                <w:sz w:val="20"/>
                <w:szCs w:val="20"/>
              </w:rPr>
              <w:t xml:space="preserve">✗</w:t>
            </w:r>
          </w:p>
        </w:tc>
        <w:tc>
          <w:tcPr>
            <w:tcW w:type="dxa" w:w="1900"/>
            <w:tcMar>
              <w:top w:type="dxa" w:w="80"/>
              <w:left w:type="dxa" w:w="120"/>
              <w:bottom w:type="dxa" w:w="80"/>
              <w:right w:type="dxa" w:w="120"/>
            </w:tcMar>
          </w:tcPr>
          <w:p>
            <w:r>
              <w:rPr>
                <w:b w:val="false"/>
                <w:bCs w:val="false"/>
                <w:color w:val="111111"/>
                <w:sz w:val="20"/>
                <w:szCs w:val="20"/>
              </w:rPr>
              <w:t xml:space="preserve">✗</w:t>
            </w:r>
          </w:p>
        </w:tc>
        <w:tc>
          <w:tcPr>
            <w:tcW w:type="dxa" w:w="2500"/>
            <w:tcMar>
              <w:top w:type="dxa" w:w="80"/>
              <w:left w:type="dxa" w:w="120"/>
              <w:bottom w:type="dxa" w:w="80"/>
              <w:right w:type="dxa" w:w="120"/>
            </w:tcMar>
          </w:tcPr>
          <w:p>
            <w:r>
              <w:rPr>
                <w:b w:val="false"/>
                <w:bCs w:val="false"/>
                <w:color w:val="111111"/>
                <w:sz w:val="20"/>
                <w:szCs w:val="20"/>
              </w:rPr>
              <w:t xml:space="preserve">✓ 3 included, additional districts £10/month each, 30-day change cooldown</w:t>
            </w:r>
          </w:p>
        </w:tc>
      </w:tr>
      <w:tr>
        <w:tc>
          <w:tcPr>
            <w:tcW w:type="dxa" w:w="3200"/>
            <w:shd w:fill="F8FAFC" w:val="clear"/>
            <w:tcMar>
              <w:top w:type="dxa" w:w="80"/>
              <w:left w:type="dxa" w:w="120"/>
              <w:bottom w:type="dxa" w:w="80"/>
              <w:right w:type="dxa" w:w="120"/>
            </w:tcMar>
          </w:tcPr>
          <w:p>
            <w:r>
              <w:rPr>
                <w:b w:val="false"/>
                <w:bCs w:val="false"/>
                <w:color w:val="111111"/>
                <w:sz w:val="20"/>
                <w:szCs w:val="20"/>
              </w:rPr>
              <w:t xml:space="preserve">Job logging (live + backdated)</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 Unlimited</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 Unlimited</w:t>
            </w:r>
          </w:p>
        </w:tc>
        <w:tc>
          <w:tcPr>
            <w:tcW w:type="dxa" w:w="2500"/>
            <w:shd w:fill="F8FAFC" w:val="clear"/>
            <w:tcMar>
              <w:top w:type="dxa" w:w="80"/>
              <w:left w:type="dxa" w:w="120"/>
              <w:bottom w:type="dxa" w:w="80"/>
              <w:right w:type="dxa" w:w="120"/>
            </w:tcMar>
          </w:tcPr>
          <w:p>
            <w:r>
              <w:rPr>
                <w:b w:val="false"/>
                <w:bCs w:val="false"/>
                <w:color w:val="111111"/>
                <w:sz w:val="20"/>
                <w:szCs w:val="20"/>
              </w:rPr>
              <w:t xml:space="preserve">✓ Unlimited</w:t>
            </w:r>
          </w:p>
        </w:tc>
      </w:tr>
      <w:tr>
        <w:tc>
          <w:tcPr>
            <w:tcW w:type="dxa" w:w="3200"/>
            <w:tcMar>
              <w:top w:type="dxa" w:w="80"/>
              <w:left w:type="dxa" w:w="120"/>
              <w:bottom w:type="dxa" w:w="80"/>
              <w:right w:type="dxa" w:w="120"/>
            </w:tcMar>
          </w:tcPr>
          <w:p>
            <w:r>
              <w:rPr>
                <w:b w:val="false"/>
                <w:bCs w:val="false"/>
                <w:color w:val="111111"/>
                <w:sz w:val="20"/>
                <w:szCs w:val="20"/>
              </w:rPr>
              <w:t xml:space="preserve">Reviews received and submitted</w:t>
            </w:r>
          </w:p>
        </w:tc>
        <w:tc>
          <w:tcPr>
            <w:tcW w:type="dxa" w:w="1900"/>
            <w:tcMar>
              <w:top w:type="dxa" w:w="80"/>
              <w:left w:type="dxa" w:w="120"/>
              <w:bottom w:type="dxa" w:w="80"/>
              <w:right w:type="dxa" w:w="120"/>
            </w:tcMar>
          </w:tcPr>
          <w:p>
            <w:r>
              <w:rPr>
                <w:b w:val="false"/>
                <w:bCs w:val="false"/>
                <w:color w:val="111111"/>
                <w:sz w:val="20"/>
                <w:szCs w:val="20"/>
              </w:rPr>
              <w:t xml:space="preserve">✓ Unlimited</w:t>
            </w:r>
          </w:p>
        </w:tc>
        <w:tc>
          <w:tcPr>
            <w:tcW w:type="dxa" w:w="1900"/>
            <w:tcMar>
              <w:top w:type="dxa" w:w="80"/>
              <w:left w:type="dxa" w:w="120"/>
              <w:bottom w:type="dxa" w:w="80"/>
              <w:right w:type="dxa" w:w="120"/>
            </w:tcMar>
          </w:tcPr>
          <w:p>
            <w:r>
              <w:rPr>
                <w:b w:val="false"/>
                <w:bCs w:val="false"/>
                <w:color w:val="111111"/>
                <w:sz w:val="20"/>
                <w:szCs w:val="20"/>
              </w:rPr>
              <w:t xml:space="preserve">✓ Unlimited</w:t>
            </w:r>
          </w:p>
        </w:tc>
        <w:tc>
          <w:tcPr>
            <w:tcW w:type="dxa" w:w="2500"/>
            <w:tcMar>
              <w:top w:type="dxa" w:w="80"/>
              <w:left w:type="dxa" w:w="120"/>
              <w:bottom w:type="dxa" w:w="80"/>
              <w:right w:type="dxa" w:w="120"/>
            </w:tcMar>
          </w:tcPr>
          <w:p>
            <w:r>
              <w:rPr>
                <w:b w:val="false"/>
                <w:bCs w:val="false"/>
                <w:color w:val="111111"/>
                <w:sz w:val="20"/>
                <w:szCs w:val="20"/>
              </w:rPr>
              <w:t xml:space="preserve">✓ Unlimited</w:t>
            </w:r>
          </w:p>
        </w:tc>
      </w:tr>
      <w:tr>
        <w:tc>
          <w:tcPr>
            <w:tcW w:type="dxa" w:w="3200"/>
            <w:shd w:fill="F8FAFC" w:val="clear"/>
            <w:tcMar>
              <w:top w:type="dxa" w:w="80"/>
              <w:left w:type="dxa" w:w="120"/>
              <w:bottom w:type="dxa" w:w="80"/>
              <w:right w:type="dxa" w:w="120"/>
            </w:tcMar>
          </w:tcPr>
          <w:p>
            <w:r>
              <w:rPr>
                <w:b w:val="false"/>
                <w:bCs w:val="false"/>
                <w:color w:val="111111"/>
                <w:sz w:val="20"/>
                <w:szCs w:val="20"/>
              </w:rPr>
              <w:t xml:space="preserve">Blind review submission</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w:t>
            </w:r>
          </w:p>
        </w:tc>
        <w:tc>
          <w:tcPr>
            <w:tcW w:type="dxa" w:w="2500"/>
            <w:shd w:fill="F8FAFC" w:val="clear"/>
            <w:tcMar>
              <w:top w:type="dxa" w:w="80"/>
              <w:left w:type="dxa" w:w="120"/>
              <w:bottom w:type="dxa" w:w="80"/>
              <w:right w:type="dxa" w:w="120"/>
            </w:tcMar>
          </w:tcPr>
          <w:p>
            <w:r>
              <w:rPr>
                <w:b w:val="false"/>
                <w:bCs w:val="false"/>
                <w:color w:val="111111"/>
                <w:sz w:val="20"/>
                <w:szCs w:val="20"/>
              </w:rPr>
              <w:t xml:space="preserve">✓</w:t>
            </w:r>
          </w:p>
        </w:tc>
      </w:tr>
      <w:tr>
        <w:tc>
          <w:tcPr>
            <w:tcW w:type="dxa" w:w="3200"/>
            <w:tcMar>
              <w:top w:type="dxa" w:w="80"/>
              <w:left w:type="dxa" w:w="120"/>
              <w:bottom w:type="dxa" w:w="80"/>
              <w:right w:type="dxa" w:w="120"/>
            </w:tcMar>
          </w:tcPr>
          <w:p>
            <w:r>
              <w:rPr>
                <w:b w:val="false"/>
                <w:bCs w:val="false"/>
                <w:color w:val="111111"/>
                <w:sz w:val="20"/>
                <w:szCs w:val="20"/>
              </w:rPr>
              <w:t xml:space="preserve">Respond to reviews publicly</w:t>
            </w:r>
          </w:p>
        </w:tc>
        <w:tc>
          <w:tcPr>
            <w:tcW w:type="dxa" w:w="1900"/>
            <w:tcMar>
              <w:top w:type="dxa" w:w="80"/>
              <w:left w:type="dxa" w:w="120"/>
              <w:bottom w:type="dxa" w:w="80"/>
              <w:right w:type="dxa" w:w="120"/>
            </w:tcMar>
          </w:tcPr>
          <w:p>
            <w:r>
              <w:rPr>
                <w:b w:val="false"/>
                <w:bCs w:val="false"/>
                <w:color w:val="111111"/>
                <w:sz w:val="20"/>
                <w:szCs w:val="20"/>
              </w:rPr>
              <w:t xml:space="preserve">✓</w:t>
            </w:r>
          </w:p>
        </w:tc>
        <w:tc>
          <w:tcPr>
            <w:tcW w:type="dxa" w:w="1900"/>
            <w:tcMar>
              <w:top w:type="dxa" w:w="80"/>
              <w:left w:type="dxa" w:w="120"/>
              <w:bottom w:type="dxa" w:w="80"/>
              <w:right w:type="dxa" w:w="120"/>
            </w:tcMar>
          </w:tcPr>
          <w:p>
            <w:r>
              <w:rPr>
                <w:b w:val="false"/>
                <w:bCs w:val="false"/>
                <w:color w:val="111111"/>
                <w:sz w:val="20"/>
                <w:szCs w:val="20"/>
              </w:rPr>
              <w:t xml:space="preserve">✓</w:t>
            </w:r>
          </w:p>
        </w:tc>
        <w:tc>
          <w:tcPr>
            <w:tcW w:type="dxa" w:w="2500"/>
            <w:tcMar>
              <w:top w:type="dxa" w:w="80"/>
              <w:left w:type="dxa" w:w="120"/>
              <w:bottom w:type="dxa" w:w="80"/>
              <w:right w:type="dxa" w:w="120"/>
            </w:tcMar>
          </w:tcPr>
          <w:p>
            <w:r>
              <w:rPr>
                <w:b w:val="false"/>
                <w:bCs w:val="false"/>
                <w:color w:val="111111"/>
                <w:sz w:val="20"/>
                <w:szCs w:val="20"/>
              </w:rPr>
              <w:t xml:space="preserve">✓</w:t>
            </w:r>
          </w:p>
        </w:tc>
      </w:tr>
      <w:tr>
        <w:tc>
          <w:tcPr>
            <w:tcW w:type="dxa" w:w="3200"/>
            <w:shd w:fill="F8FAFC" w:val="clear"/>
            <w:tcMar>
              <w:top w:type="dxa" w:w="80"/>
              <w:left w:type="dxa" w:w="120"/>
              <w:bottom w:type="dxa" w:w="80"/>
              <w:right w:type="dxa" w:w="120"/>
            </w:tcMar>
          </w:tcPr>
          <w:p>
            <w:r>
              <w:rPr>
                <w:b w:val="false"/>
                <w:bCs w:val="false"/>
                <w:color w:val="111111"/>
                <w:sz w:val="20"/>
                <w:szCs w:val="20"/>
              </w:rPr>
              <w:t xml:space="preserve">Basic client lookup</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 Rating only</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 Rating only</w:t>
            </w:r>
          </w:p>
        </w:tc>
        <w:tc>
          <w:tcPr>
            <w:tcW w:type="dxa" w:w="2500"/>
            <w:shd w:fill="F8FAFC" w:val="clear"/>
            <w:tcMar>
              <w:top w:type="dxa" w:w="80"/>
              <w:left w:type="dxa" w:w="120"/>
              <w:bottom w:type="dxa" w:w="80"/>
              <w:right w:type="dxa" w:w="120"/>
            </w:tcMar>
          </w:tcPr>
          <w:p>
            <w:r>
              <w:rPr>
                <w:b w:val="false"/>
                <w:bCs w:val="false"/>
                <w:color w:val="111111"/>
                <w:sz w:val="20"/>
                <w:szCs w:val="20"/>
              </w:rPr>
              <w:t xml:space="preserve">✓ Rating only</w:t>
            </w:r>
          </w:p>
        </w:tc>
      </w:tr>
      <w:tr>
        <w:tc>
          <w:tcPr>
            <w:tcW w:type="dxa" w:w="3200"/>
            <w:tcMar>
              <w:top w:type="dxa" w:w="80"/>
              <w:left w:type="dxa" w:w="120"/>
              <w:bottom w:type="dxa" w:w="80"/>
              <w:right w:type="dxa" w:w="120"/>
            </w:tcMar>
          </w:tcPr>
          <w:p>
            <w:r>
              <w:rPr>
                <w:b w:val="false"/>
                <w:bCs w:val="false"/>
                <w:color w:val="111111"/>
                <w:sz w:val="20"/>
                <w:szCs w:val="20"/>
              </w:rPr>
              <w:t xml:space="preserve">Full client profile on lookup</w:t>
            </w:r>
          </w:p>
        </w:tc>
        <w:tc>
          <w:tcPr>
            <w:tcW w:type="dxa" w:w="1900"/>
            <w:tcMar>
              <w:top w:type="dxa" w:w="80"/>
              <w:left w:type="dxa" w:w="120"/>
              <w:bottom w:type="dxa" w:w="80"/>
              <w:right w:type="dxa" w:w="120"/>
            </w:tcMar>
          </w:tcPr>
          <w:p>
            <w:r>
              <w:rPr>
                <w:b w:val="false"/>
                <w:bCs w:val="false"/>
                <w:color w:val="111111"/>
                <w:sz w:val="20"/>
                <w:szCs w:val="20"/>
              </w:rPr>
              <w:t xml:space="preserve">✗</w:t>
            </w:r>
          </w:p>
        </w:tc>
        <w:tc>
          <w:tcPr>
            <w:tcW w:type="dxa" w:w="1900"/>
            <w:tcMar>
              <w:top w:type="dxa" w:w="80"/>
              <w:left w:type="dxa" w:w="120"/>
              <w:bottom w:type="dxa" w:w="80"/>
              <w:right w:type="dxa" w:w="120"/>
            </w:tcMar>
          </w:tcPr>
          <w:p>
            <w:r>
              <w:rPr>
                <w:b w:val="false"/>
                <w:bCs w:val="false"/>
                <w:color w:val="111111"/>
                <w:sz w:val="20"/>
                <w:szCs w:val="20"/>
              </w:rPr>
              <w:t xml:space="preserve">✓</w:t>
            </w:r>
          </w:p>
        </w:tc>
        <w:tc>
          <w:tcPr>
            <w:tcW w:type="dxa" w:w="2500"/>
            <w:tcMar>
              <w:top w:type="dxa" w:w="80"/>
              <w:left w:type="dxa" w:w="120"/>
              <w:bottom w:type="dxa" w:w="80"/>
              <w:right w:type="dxa" w:w="120"/>
            </w:tcMar>
          </w:tcPr>
          <w:p>
            <w:r>
              <w:rPr>
                <w:b w:val="false"/>
                <w:bCs w:val="false"/>
                <w:color w:val="111111"/>
                <w:sz w:val="20"/>
                <w:szCs w:val="20"/>
              </w:rPr>
              <w:t xml:space="preserve">✓</w:t>
            </w:r>
          </w:p>
        </w:tc>
      </w:tr>
      <w:tr>
        <w:tc>
          <w:tcPr>
            <w:tcW w:type="dxa" w:w="3200"/>
            <w:shd w:fill="F8FAFC" w:val="clear"/>
            <w:tcMar>
              <w:top w:type="dxa" w:w="80"/>
              <w:left w:type="dxa" w:w="120"/>
              <w:bottom w:type="dxa" w:w="80"/>
              <w:right w:type="dxa" w:w="120"/>
            </w:tcMar>
          </w:tcPr>
          <w:p>
            <w:r>
              <w:rPr>
                <w:b w:val="false"/>
                <w:bCs w:val="false"/>
                <w:color w:val="111111"/>
                <w:sz w:val="20"/>
                <w:szCs w:val="20"/>
              </w:rPr>
              <w:t xml:space="preserve">Verified badge on profile</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w:t>
            </w:r>
          </w:p>
        </w:tc>
        <w:tc>
          <w:tcPr>
            <w:tcW w:type="dxa" w:w="2500"/>
            <w:shd w:fill="F8FAFC" w:val="clear"/>
            <w:tcMar>
              <w:top w:type="dxa" w:w="80"/>
              <w:left w:type="dxa" w:w="120"/>
              <w:bottom w:type="dxa" w:w="80"/>
              <w:right w:type="dxa" w:w="120"/>
            </w:tcMar>
          </w:tcPr>
          <w:p>
            <w:r>
              <w:rPr>
                <w:b w:val="false"/>
                <w:bCs w:val="false"/>
                <w:color w:val="111111"/>
                <w:sz w:val="20"/>
                <w:szCs w:val="20"/>
              </w:rPr>
              <w:t xml:space="preserve">✓</w:t>
            </w:r>
          </w:p>
        </w:tc>
      </w:tr>
      <w:tr>
        <w:tc>
          <w:tcPr>
            <w:tcW w:type="dxa" w:w="3200"/>
            <w:tcMar>
              <w:top w:type="dxa" w:w="80"/>
              <w:left w:type="dxa" w:w="120"/>
              <w:bottom w:type="dxa" w:w="80"/>
              <w:right w:type="dxa" w:w="120"/>
            </w:tcMar>
          </w:tcPr>
          <w:p>
            <w:r>
              <w:rPr>
                <w:b w:val="false"/>
                <w:bCs w:val="false"/>
                <w:color w:val="111111"/>
                <w:sz w:val="20"/>
                <w:szCs w:val="20"/>
              </w:rPr>
              <w:t xml:space="preserve">Pro badge in search and profile</w:t>
            </w:r>
          </w:p>
        </w:tc>
        <w:tc>
          <w:tcPr>
            <w:tcW w:type="dxa" w:w="1900"/>
            <w:tcMar>
              <w:top w:type="dxa" w:w="80"/>
              <w:left w:type="dxa" w:w="120"/>
              <w:bottom w:type="dxa" w:w="80"/>
              <w:right w:type="dxa" w:w="120"/>
            </w:tcMar>
          </w:tcPr>
          <w:p>
            <w:r>
              <w:rPr>
                <w:b w:val="false"/>
                <w:bCs w:val="false"/>
                <w:color w:val="111111"/>
                <w:sz w:val="20"/>
                <w:szCs w:val="20"/>
              </w:rPr>
              <w:t xml:space="preserve">✗</w:t>
            </w:r>
          </w:p>
        </w:tc>
        <w:tc>
          <w:tcPr>
            <w:tcW w:type="dxa" w:w="1900"/>
            <w:tcMar>
              <w:top w:type="dxa" w:w="80"/>
              <w:left w:type="dxa" w:w="120"/>
              <w:bottom w:type="dxa" w:w="80"/>
              <w:right w:type="dxa" w:w="120"/>
            </w:tcMar>
          </w:tcPr>
          <w:p>
            <w:r>
              <w:rPr>
                <w:b w:val="false"/>
                <w:bCs w:val="false"/>
                <w:color w:val="111111"/>
                <w:sz w:val="20"/>
                <w:szCs w:val="20"/>
              </w:rPr>
              <w:t xml:space="preserve">✗</w:t>
            </w:r>
          </w:p>
        </w:tc>
        <w:tc>
          <w:tcPr>
            <w:tcW w:type="dxa" w:w="2500"/>
            <w:tcMar>
              <w:top w:type="dxa" w:w="80"/>
              <w:left w:type="dxa" w:w="120"/>
              <w:bottom w:type="dxa" w:w="80"/>
              <w:right w:type="dxa" w:w="120"/>
            </w:tcMar>
          </w:tcPr>
          <w:p>
            <w:r>
              <w:rPr>
                <w:b w:val="false"/>
                <w:bCs w:val="false"/>
                <w:color w:val="111111"/>
                <w:sz w:val="20"/>
                <w:szCs w:val="20"/>
              </w:rPr>
              <w:t xml:space="preserve">✓ Shown everywhere the trade operates, regardless of boost</w:t>
            </w:r>
          </w:p>
        </w:tc>
      </w:tr>
      <w:tr>
        <w:tc>
          <w:tcPr>
            <w:tcW w:type="dxa" w:w="3200"/>
            <w:shd w:fill="F8FAFC" w:val="clear"/>
            <w:tcMar>
              <w:top w:type="dxa" w:w="80"/>
              <w:left w:type="dxa" w:w="120"/>
              <w:bottom w:type="dxa" w:w="80"/>
              <w:right w:type="dxa" w:w="120"/>
            </w:tcMar>
          </w:tcPr>
          <w:p>
            <w:r>
              <w:rPr>
                <w:b w:val="false"/>
                <w:bCs w:val="false"/>
                <w:color w:val="111111"/>
                <w:sz w:val="20"/>
                <w:szCs w:val="20"/>
              </w:rPr>
              <w:t xml:space="preserve">Featured job images</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 3 jobs / 5 images</w:t>
            </w:r>
          </w:p>
        </w:tc>
        <w:tc>
          <w:tcPr>
            <w:tcW w:type="dxa" w:w="2500"/>
            <w:shd w:fill="F8FAFC" w:val="clear"/>
            <w:tcMar>
              <w:top w:type="dxa" w:w="80"/>
              <w:left w:type="dxa" w:w="120"/>
              <w:bottom w:type="dxa" w:w="80"/>
              <w:right w:type="dxa" w:w="120"/>
            </w:tcMar>
          </w:tcPr>
          <w:p>
            <w:r>
              <w:rPr>
                <w:b w:val="false"/>
                <w:bCs w:val="false"/>
                <w:color w:val="111111"/>
                <w:sz w:val="20"/>
                <w:szCs w:val="20"/>
              </w:rPr>
              <w:t xml:space="preserve">✓ 5 jobs / 10 images</w:t>
            </w:r>
          </w:p>
        </w:tc>
      </w:tr>
      <w:tr>
        <w:tc>
          <w:tcPr>
            <w:tcW w:type="dxa" w:w="3200"/>
            <w:tcMar>
              <w:top w:type="dxa" w:w="80"/>
              <w:left w:type="dxa" w:w="120"/>
              <w:bottom w:type="dxa" w:w="80"/>
              <w:right w:type="dxa" w:w="120"/>
            </w:tcMar>
          </w:tcPr>
          <w:p>
            <w:r>
              <w:rPr>
                <w:b w:val="false"/>
                <w:bCs w:val="false"/>
                <w:color w:val="111111"/>
                <w:sz w:val="20"/>
                <w:szCs w:val="20"/>
              </w:rPr>
              <w:t xml:space="preserve">Profile analytics</w:t>
            </w:r>
          </w:p>
        </w:tc>
        <w:tc>
          <w:tcPr>
            <w:tcW w:type="dxa" w:w="1900"/>
            <w:tcMar>
              <w:top w:type="dxa" w:w="80"/>
              <w:left w:type="dxa" w:w="120"/>
              <w:bottom w:type="dxa" w:w="80"/>
              <w:right w:type="dxa" w:w="120"/>
            </w:tcMar>
          </w:tcPr>
          <w:p>
            <w:r>
              <w:rPr>
                <w:b w:val="false"/>
                <w:bCs w:val="false"/>
                <w:color w:val="111111"/>
                <w:sz w:val="20"/>
                <w:szCs w:val="20"/>
              </w:rPr>
              <w:t xml:space="preserve">✗</w:t>
            </w:r>
          </w:p>
        </w:tc>
        <w:tc>
          <w:tcPr>
            <w:tcW w:type="dxa" w:w="1900"/>
            <w:tcMar>
              <w:top w:type="dxa" w:w="80"/>
              <w:left w:type="dxa" w:w="120"/>
              <w:bottom w:type="dxa" w:w="80"/>
              <w:right w:type="dxa" w:w="120"/>
            </w:tcMar>
          </w:tcPr>
          <w:p>
            <w:r>
              <w:rPr>
                <w:b w:val="false"/>
                <w:bCs w:val="false"/>
                <w:color w:val="111111"/>
                <w:sz w:val="20"/>
                <w:szCs w:val="20"/>
              </w:rPr>
              <w:t xml:space="preserve">✗</w:t>
            </w:r>
          </w:p>
        </w:tc>
        <w:tc>
          <w:tcPr>
            <w:tcW w:type="dxa" w:w="2500"/>
            <w:tcMar>
              <w:top w:type="dxa" w:w="80"/>
              <w:left w:type="dxa" w:w="120"/>
              <w:bottom w:type="dxa" w:w="80"/>
              <w:right w:type="dxa" w:w="120"/>
            </w:tcMar>
          </w:tcPr>
          <w:p>
            <w:r>
              <w:rPr>
                <w:b w:val="false"/>
                <w:bCs w:val="false"/>
                <w:color w:val="111111"/>
                <w:sz w:val="20"/>
                <w:szCs w:val="20"/>
              </w:rPr>
              <w:t xml:space="preserve">✓</w:t>
            </w:r>
          </w:p>
        </w:tc>
      </w:tr>
      <w:tr>
        <w:tc>
          <w:tcPr>
            <w:tcW w:type="dxa" w:w="3200"/>
            <w:shd w:fill="F8FAFC" w:val="clear"/>
            <w:tcMar>
              <w:top w:type="dxa" w:w="80"/>
              <w:left w:type="dxa" w:w="120"/>
              <w:bottom w:type="dxa" w:w="80"/>
              <w:right w:type="dxa" w:w="120"/>
            </w:tcMar>
          </w:tcPr>
          <w:p>
            <w:r>
              <w:rPr>
                <w:b w:val="false"/>
                <w:bCs w:val="false"/>
                <w:color w:val="111111"/>
                <w:sz w:val="20"/>
                <w:szCs w:val="20"/>
              </w:rPr>
              <w:t xml:space="preserve">Priority dispute resolution</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w:t>
            </w:r>
          </w:p>
        </w:tc>
        <w:tc>
          <w:tcPr>
            <w:tcW w:type="dxa" w:w="2500"/>
            <w:shd w:fill="F8FAFC" w:val="clear"/>
            <w:tcMar>
              <w:top w:type="dxa" w:w="80"/>
              <w:left w:type="dxa" w:w="120"/>
              <w:bottom w:type="dxa" w:w="80"/>
              <w:right w:type="dxa" w:w="120"/>
            </w:tcMar>
          </w:tcPr>
          <w:p>
            <w:r>
              <w:rPr>
                <w:b w:val="false"/>
                <w:bCs w:val="false"/>
                <w:color w:val="111111"/>
                <w:sz w:val="20"/>
                <w:szCs w:val="20"/>
              </w:rPr>
              <w:t xml:space="preserve">✓</w:t>
            </w:r>
          </w:p>
        </w:tc>
      </w:tr>
      <w:tr>
        <w:tc>
          <w:tcPr>
            <w:tcW w:type="dxa" w:w="3200"/>
            <w:tcMar>
              <w:top w:type="dxa" w:w="80"/>
              <w:left w:type="dxa" w:w="120"/>
              <w:bottom w:type="dxa" w:w="80"/>
              <w:right w:type="dxa" w:w="120"/>
            </w:tcMar>
          </w:tcPr>
          <w:p>
            <w:r>
              <w:rPr>
                <w:b w:val="false"/>
                <w:bCs w:val="false"/>
                <w:color w:val="111111"/>
                <w:sz w:val="20"/>
                <w:szCs w:val="20"/>
              </w:rPr>
              <w:t xml:space="preserve">Monthly price</w:t>
            </w:r>
          </w:p>
        </w:tc>
        <w:tc>
          <w:tcPr>
            <w:tcW w:type="dxa" w:w="1900"/>
            <w:tcMar>
              <w:top w:type="dxa" w:w="80"/>
              <w:left w:type="dxa" w:w="120"/>
              <w:bottom w:type="dxa" w:w="80"/>
              <w:right w:type="dxa" w:w="120"/>
            </w:tcMar>
          </w:tcPr>
          <w:p>
            <w:r>
              <w:rPr>
                <w:b w:val="false"/>
                <w:bCs w:val="false"/>
                <w:color w:val="111111"/>
                <w:sz w:val="20"/>
                <w:szCs w:val="20"/>
              </w:rPr>
              <w:t xml:space="preserve">Free</w:t>
            </w:r>
          </w:p>
        </w:tc>
        <w:tc>
          <w:tcPr>
            <w:tcW w:type="dxa" w:w="1900"/>
            <w:tcMar>
              <w:top w:type="dxa" w:w="80"/>
              <w:left w:type="dxa" w:w="120"/>
              <w:bottom w:type="dxa" w:w="80"/>
              <w:right w:type="dxa" w:w="120"/>
            </w:tcMar>
          </w:tcPr>
          <w:p>
            <w:r>
              <w:rPr>
                <w:b w:val="false"/>
                <w:bCs w:val="false"/>
                <w:color w:val="111111"/>
                <w:sz w:val="20"/>
                <w:szCs w:val="20"/>
              </w:rPr>
              <w:t xml:space="preserve">£9.99</w:t>
            </w:r>
          </w:p>
        </w:tc>
        <w:tc>
          <w:tcPr>
            <w:tcW w:type="dxa" w:w="2500"/>
            <w:tcMar>
              <w:top w:type="dxa" w:w="80"/>
              <w:left w:type="dxa" w:w="120"/>
              <w:bottom w:type="dxa" w:w="80"/>
              <w:right w:type="dxa" w:w="120"/>
            </w:tcMar>
          </w:tcPr>
          <w:p>
            <w:r>
              <w:rPr>
                <w:b w:val="false"/>
                <w:bCs w:val="false"/>
                <w:color w:val="111111"/>
                <w:sz w:val="20"/>
                <w:szCs w:val="20"/>
              </w:rPr>
              <w:t xml:space="preserve">£39.99</w:t>
            </w:r>
          </w:p>
        </w:tc>
      </w:tr>
      <w:tr>
        <w:tc>
          <w:tcPr>
            <w:tcW w:type="dxa" w:w="3200"/>
            <w:shd w:fill="F8FAFC" w:val="clear"/>
            <w:tcMar>
              <w:top w:type="dxa" w:w="80"/>
              <w:left w:type="dxa" w:w="120"/>
              <w:bottom w:type="dxa" w:w="80"/>
              <w:right w:type="dxa" w:w="120"/>
            </w:tcMar>
          </w:tcPr>
          <w:p>
            <w:r>
              <w:rPr>
                <w:b w:val="false"/>
                <w:bCs w:val="false"/>
                <w:color w:val="111111"/>
                <w:sz w:val="20"/>
                <w:szCs w:val="20"/>
              </w:rPr>
              <w:t xml:space="preserve">Annual price</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Free</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£99.90</w:t>
            </w:r>
          </w:p>
        </w:tc>
        <w:tc>
          <w:tcPr>
            <w:tcW w:type="dxa" w:w="2500"/>
            <w:shd w:fill="F8FAFC" w:val="clear"/>
            <w:tcMar>
              <w:top w:type="dxa" w:w="80"/>
              <w:left w:type="dxa" w:w="120"/>
              <w:bottom w:type="dxa" w:w="80"/>
              <w:right w:type="dxa" w:w="120"/>
            </w:tcMar>
          </w:tcPr>
          <w:p>
            <w:r>
              <w:rPr>
                <w:b w:val="false"/>
                <w:bCs w:val="false"/>
                <w:color w:val="111111"/>
                <w:sz w:val="20"/>
                <w:szCs w:val="20"/>
              </w:rPr>
              <w:t xml:space="preserve">£399.90</w:t>
            </w:r>
          </w:p>
        </w:tc>
      </w:tr>
    </w:tbl>
    <w:p>
      <w:pPr>
        <w:pStyle w:val="Heading2"/>
        <w:spacing w:after="120" w:before="260"/>
      </w:pPr>
      <w:r>
        <w:t xml:space="preserve">5.3 Search Ranking</w:t>
      </w:r>
    </w:p>
    <w:p>
      <w:pPr>
        <w:spacing w:after="160"/>
      </w:pPr>
      <w:r>
        <w:t xml:space="preserve">Search ranking is driven by district match and boost status, not by radius or tier alone:</w:t>
      </w:r>
    </w:p>
    <w:p>
      <w:pPr>
        <w:pStyle w:val="ListParagraph"/>
        <w:numPr>
          <w:ilvl w:val="0"/>
          <w:numId w:val="2"/>
        </w:numPr>
        <w:spacing w:after="80"/>
      </w:pPr>
      <w:r>
        <w:t xml:space="preserve">A client's search postcode resolves to a single postcode district</w:t>
      </w:r>
    </w:p>
    <w:p>
      <w:pPr>
        <w:pStyle w:val="ListParagraph"/>
        <w:numPr>
          <w:ilvl w:val="0"/>
          <w:numId w:val="2"/>
        </w:numPr>
        <w:spacing w:after="80"/>
      </w:pPr>
      <w:r>
        <w:t xml:space="preserve">Tradespeople with that district in their Boosted Districts (Pro only) appear at the top of results, in randomised rotation — no fixed slots, no seniority advantage within the boosted band</w:t>
      </w:r>
    </w:p>
    <w:p>
      <w:pPr>
        <w:pStyle w:val="ListParagraph"/>
        <w:numPr>
          <w:ilvl w:val="0"/>
          <w:numId w:val="2"/>
        </w:numPr>
        <w:spacing w:after="80"/>
      </w:pPr>
      <w:r>
        <w:t xml:space="preserve">All other tradespeople with that district in their Operating Areas — Free, Standard, or Pro subscribers who have not boosted that specific district — appear below in standard results, with no ranking distinction between them</w:t>
      </w:r>
    </w:p>
    <w:p>
      <w:pPr>
        <w:pStyle w:val="ListParagraph"/>
        <w:numPr>
          <w:ilvl w:val="0"/>
          <w:numId w:val="2"/>
        </w:numPr>
        <w:spacing w:after="80"/>
      </w:pPr>
      <w:r>
        <w:t xml:space="preserve">Admin-Seeded (unclaimed) profiles appear last, below every real subscriber regardless of tier, and only when the density rule in section 9 is met (see 9 for the full cascade)</w:t>
      </w:r>
    </w:p>
    <w:p>
      <w:pPr>
        <w:spacing w:after="160"/>
      </w:pPr>
      <w:r>
        <w:rPr>
          <w:b/>
          <w:bCs/>
        </w:rPr>
        <w:t xml:space="preserve">Important: </w:t>
      </w:r>
      <w:r>
        <w:t xml:space="preserve">a Pro subscriber only receives top placement in the districts they have actively chosen to boost — 3 included with the subscription, with further districts available at £10/month each (see 5.1.1). In an Operating Area they have not boosted, a Pro subscriber ranks identically to a Free or Standard subscriber in that same search. This is deliberate — Pro is priced as “buy your top districts,” not “buy visibility everywhere.” This distinction should be stated explicitly in Pro subscription management copy and in any support material, since it is the most likely source of “why am I not top here” queries from Pro subscribers.</w:t>
      </w:r>
    </w:p>
    <w:p>
      <w:pPr>
        <w:spacing w:after="160"/>
      </w:pPr>
      <w:r>
        <w:t xml:space="preserve">Search visibility is not the upgrade driver for Standard. Standard pays for information and credibility tools, not position.</w:t>
      </w:r>
    </w:p>
    <w:p>
      <w:pPr>
        <w:pStyle w:val="Heading2"/>
        <w:spacing w:after="120" w:before="260"/>
      </w:pPr>
      <w:r>
        <w:t xml:space="preserve">5.4 Badge Logic</w:t>
      </w:r>
    </w:p>
    <w:p>
      <w:pPr>
        <w:spacing w:after="160"/>
      </w:pPr>
      <w:r>
        <w:t xml:space="preserve">Badges and search position are deliberately separate mechanics and should be presented as such in the UI and in support copy: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900"/>
      </w:tblGrid>
      <w:tr>
        <w:trPr>
          <w:tblHeader/>
        </w:trPr>
        <w:tc>
          <w:tcPr>
            <w:tcW w:type="dxa" w:w="2000"/>
            <w:shd w:fill="1F2937" w:val="clear"/>
            <w:tcMar>
              <w:top w:type="dxa" w:w="80"/>
              <w:left w:type="dxa" w:w="120"/>
              <w:bottom w:type="dxa" w:w="80"/>
              <w:right w:type="dxa" w:w="120"/>
            </w:tcMar>
          </w:tcPr>
          <w:p>
            <w:r>
              <w:rPr>
                <w:b/>
                <w:bCs/>
                <w:color w:val="FFFFFF"/>
                <w:sz w:val="20"/>
                <w:szCs w:val="20"/>
              </w:rPr>
              <w:t xml:space="preserve">Signal</w:t>
            </w:r>
          </w:p>
        </w:tc>
        <w:tc>
          <w:tcPr>
            <w:tcW w:type="dxa" w:w="1400"/>
            <w:shd w:fill="1F2937" w:val="clear"/>
            <w:tcMar>
              <w:top w:type="dxa" w:w="80"/>
              <w:left w:type="dxa" w:w="120"/>
              <w:bottom w:type="dxa" w:w="80"/>
              <w:right w:type="dxa" w:w="120"/>
            </w:tcMar>
          </w:tcPr>
          <w:p>
            <w:r>
              <w:rPr>
                <w:b/>
                <w:bCs/>
                <w:color w:val="FFFFFF"/>
                <w:sz w:val="20"/>
                <w:szCs w:val="20"/>
              </w:rPr>
              <w:t xml:space="preserve">Tier</w:t>
            </w:r>
          </w:p>
        </w:tc>
        <w:tc>
          <w:tcPr>
            <w:tcW w:type="dxa" w:w="3200"/>
            <w:shd w:fill="1F2937" w:val="clear"/>
            <w:tcMar>
              <w:top w:type="dxa" w:w="80"/>
              <w:left w:type="dxa" w:w="120"/>
              <w:bottom w:type="dxa" w:w="80"/>
              <w:right w:type="dxa" w:w="120"/>
            </w:tcMar>
          </w:tcPr>
          <w:p>
            <w:r>
              <w:rPr>
                <w:b/>
                <w:bCs/>
                <w:color w:val="FFFFFF"/>
                <w:sz w:val="20"/>
                <w:szCs w:val="20"/>
              </w:rPr>
              <w:t xml:space="preserve">Where it appears</w:t>
            </w:r>
          </w:p>
        </w:tc>
        <w:tc>
          <w:tcPr>
            <w:tcW w:type="dxa" w:w="2900"/>
            <w:shd w:fill="1F2937" w:val="clear"/>
            <w:tcMar>
              <w:top w:type="dxa" w:w="80"/>
              <w:left w:type="dxa" w:w="120"/>
              <w:bottom w:type="dxa" w:w="80"/>
              <w:right w:type="dxa" w:w="120"/>
            </w:tcMar>
          </w:tcPr>
          <w:p>
            <w:r>
              <w:rPr>
                <w:b/>
                <w:bCs/>
                <w:color w:val="FFFFFF"/>
                <w:sz w:val="20"/>
                <w:szCs w:val="20"/>
              </w:rPr>
              <w:t xml:space="preserve">What it communicates</w:t>
            </w:r>
          </w:p>
        </w:tc>
      </w:tr>
      <w:tr>
        <w:tc>
          <w:tcPr>
            <w:tcW w:type="dxa" w:w="2000"/>
            <w:tcMar>
              <w:top w:type="dxa" w:w="80"/>
              <w:left w:type="dxa" w:w="120"/>
              <w:bottom w:type="dxa" w:w="80"/>
              <w:right w:type="dxa" w:w="120"/>
            </w:tcMar>
          </w:tcPr>
          <w:p>
            <w:r>
              <w:rPr>
                <w:b w:val="false"/>
                <w:bCs w:val="false"/>
                <w:color w:val="111111"/>
                <w:sz w:val="20"/>
                <w:szCs w:val="20"/>
              </w:rPr>
              <w:t xml:space="preserve">Verified badge</w:t>
            </w:r>
          </w:p>
        </w:tc>
        <w:tc>
          <w:tcPr>
            <w:tcW w:type="dxa" w:w="1400"/>
            <w:tcMar>
              <w:top w:type="dxa" w:w="80"/>
              <w:left w:type="dxa" w:w="120"/>
              <w:bottom w:type="dxa" w:w="80"/>
              <w:right w:type="dxa" w:w="120"/>
            </w:tcMar>
          </w:tcPr>
          <w:p>
            <w:r>
              <w:rPr>
                <w:b w:val="false"/>
                <w:bCs w:val="false"/>
                <w:color w:val="111111"/>
                <w:sz w:val="20"/>
                <w:szCs w:val="20"/>
              </w:rPr>
              <w:t xml:space="preserve">Standard, Pro</w:t>
            </w:r>
          </w:p>
        </w:tc>
        <w:tc>
          <w:tcPr>
            <w:tcW w:type="dxa" w:w="3200"/>
            <w:tcMar>
              <w:top w:type="dxa" w:w="80"/>
              <w:left w:type="dxa" w:w="120"/>
              <w:bottom w:type="dxa" w:w="80"/>
              <w:right w:type="dxa" w:w="120"/>
            </w:tcMar>
          </w:tcPr>
          <w:p>
            <w:r>
              <w:rPr>
                <w:b w:val="false"/>
                <w:bCs w:val="false"/>
                <w:color w:val="111111"/>
                <w:sz w:val="20"/>
                <w:szCs w:val="20"/>
              </w:rPr>
              <w:t xml:space="preserve">Search results and profile, in every district the trade operates in</w:t>
            </w:r>
          </w:p>
        </w:tc>
        <w:tc>
          <w:tcPr>
            <w:tcW w:type="dxa" w:w="2900"/>
            <w:tcMar>
              <w:top w:type="dxa" w:w="80"/>
              <w:left w:type="dxa" w:w="120"/>
              <w:bottom w:type="dxa" w:w="80"/>
              <w:right w:type="dxa" w:w="120"/>
            </w:tcMar>
          </w:tcPr>
          <w:p>
            <w:r>
              <w:rPr>
                <w:b w:val="false"/>
                <w:bCs w:val="false"/>
                <w:color w:val="111111"/>
                <w:sz w:val="20"/>
                <w:szCs w:val="20"/>
              </w:rPr>
              <w:t xml:space="preserve">Paid, credible subscriber with full platform access</w:t>
            </w:r>
          </w:p>
        </w:tc>
      </w:tr>
      <w:tr>
        <w:tc>
          <w:tcPr>
            <w:tcW w:type="dxa" w:w="2000"/>
            <w:shd w:fill="F8FAFC" w:val="clear"/>
            <w:tcMar>
              <w:top w:type="dxa" w:w="80"/>
              <w:left w:type="dxa" w:w="120"/>
              <w:bottom w:type="dxa" w:w="80"/>
              <w:right w:type="dxa" w:w="120"/>
            </w:tcMar>
          </w:tcPr>
          <w:p>
            <w:r>
              <w:rPr>
                <w:b w:val="false"/>
                <w:bCs w:val="false"/>
                <w:color w:val="111111"/>
                <w:sz w:val="20"/>
                <w:szCs w:val="20"/>
              </w:rPr>
              <w:t xml:space="preserve">Pro badge</w:t>
            </w:r>
          </w:p>
        </w:tc>
        <w:tc>
          <w:tcPr>
            <w:tcW w:type="dxa" w:w="1400"/>
            <w:shd w:fill="F8FAFC" w:val="clear"/>
            <w:tcMar>
              <w:top w:type="dxa" w:w="80"/>
              <w:left w:type="dxa" w:w="120"/>
              <w:bottom w:type="dxa" w:w="80"/>
              <w:right w:type="dxa" w:w="120"/>
            </w:tcMar>
          </w:tcPr>
          <w:p>
            <w:r>
              <w:rPr>
                <w:b w:val="false"/>
                <w:bCs w:val="false"/>
                <w:color w:val="111111"/>
                <w:sz w:val="20"/>
                <w:szCs w:val="20"/>
              </w:rPr>
              <w:t xml:space="preserve">Pro only</w:t>
            </w:r>
          </w:p>
        </w:tc>
        <w:tc>
          <w:tcPr>
            <w:tcW w:type="dxa" w:w="3200"/>
            <w:shd w:fill="F8FAFC" w:val="clear"/>
            <w:tcMar>
              <w:top w:type="dxa" w:w="80"/>
              <w:left w:type="dxa" w:w="120"/>
              <w:bottom w:type="dxa" w:w="80"/>
              <w:right w:type="dxa" w:w="120"/>
            </w:tcMar>
          </w:tcPr>
          <w:p>
            <w:r>
              <w:rPr>
                <w:b w:val="false"/>
                <w:bCs w:val="false"/>
                <w:color w:val="111111"/>
                <w:sz w:val="20"/>
                <w:szCs w:val="20"/>
              </w:rPr>
              <w:t xml:space="preserve">Search results and profile, in every district the trade operates in — boosted or not</w:t>
            </w:r>
          </w:p>
        </w:tc>
        <w:tc>
          <w:tcPr>
            <w:tcW w:type="dxa" w:w="2900"/>
            <w:shd w:fill="F8FAFC" w:val="clear"/>
            <w:tcMar>
              <w:top w:type="dxa" w:w="80"/>
              <w:left w:type="dxa" w:w="120"/>
              <w:bottom w:type="dxa" w:w="80"/>
              <w:right w:type="dxa" w:w="120"/>
            </w:tcMar>
          </w:tcPr>
          <w:p>
            <w:r>
              <w:rPr>
                <w:b w:val="false"/>
                <w:bCs w:val="false"/>
                <w:color w:val="111111"/>
                <w:sz w:val="20"/>
                <w:szCs w:val="20"/>
              </w:rPr>
              <w:t xml:space="preserve">Top-tier paying subscriber, regardless of position in this particular search</w:t>
            </w:r>
          </w:p>
        </w:tc>
      </w:tr>
      <w:tr>
        <w:tc>
          <w:tcPr>
            <w:tcW w:type="dxa" w:w="2000"/>
            <w:tcMar>
              <w:top w:type="dxa" w:w="80"/>
              <w:left w:type="dxa" w:w="120"/>
              <w:bottom w:type="dxa" w:w="80"/>
              <w:right w:type="dxa" w:w="120"/>
            </w:tcMar>
          </w:tcPr>
          <w:p>
            <w:r>
              <w:rPr>
                <w:b w:val="false"/>
                <w:bCs w:val="false"/>
                <w:color w:val="111111"/>
                <w:sz w:val="20"/>
                <w:szCs w:val="20"/>
              </w:rPr>
              <w:t xml:space="preserve">Top-of-search position</w:t>
            </w:r>
          </w:p>
        </w:tc>
        <w:tc>
          <w:tcPr>
            <w:tcW w:type="dxa" w:w="1400"/>
            <w:tcMar>
              <w:top w:type="dxa" w:w="80"/>
              <w:left w:type="dxa" w:w="120"/>
              <w:bottom w:type="dxa" w:w="80"/>
              <w:right w:type="dxa" w:w="120"/>
            </w:tcMar>
          </w:tcPr>
          <w:p>
            <w:r>
              <w:rPr>
                <w:b w:val="false"/>
                <w:bCs w:val="false"/>
                <w:color w:val="111111"/>
                <w:sz w:val="20"/>
                <w:szCs w:val="20"/>
              </w:rPr>
              <w:t xml:space="preserve">Pro only, per district</w:t>
            </w:r>
          </w:p>
        </w:tc>
        <w:tc>
          <w:tcPr>
            <w:tcW w:type="dxa" w:w="3200"/>
            <w:tcMar>
              <w:top w:type="dxa" w:w="80"/>
              <w:left w:type="dxa" w:w="120"/>
              <w:bottom w:type="dxa" w:w="80"/>
              <w:right w:type="dxa" w:w="120"/>
            </w:tcMar>
          </w:tcPr>
          <w:p>
            <w:r>
              <w:rPr>
                <w:b w:val="false"/>
                <w:bCs w:val="false"/>
                <w:color w:val="111111"/>
                <w:sz w:val="20"/>
                <w:szCs w:val="20"/>
              </w:rPr>
              <w:t xml:space="preserve">Only in the specific districts the trade has boosted (3 included, more via add-on)</w:t>
            </w:r>
          </w:p>
        </w:tc>
        <w:tc>
          <w:tcPr>
            <w:tcW w:type="dxa" w:w="2900"/>
            <w:tcMar>
              <w:top w:type="dxa" w:w="80"/>
              <w:left w:type="dxa" w:w="120"/>
              <w:bottom w:type="dxa" w:w="80"/>
              <w:right w:type="dxa" w:w="120"/>
            </w:tcMar>
          </w:tcPr>
          <w:p>
            <w:r>
              <w:rPr>
                <w:b w:val="false"/>
                <w:bCs w:val="false"/>
                <w:color w:val="111111"/>
                <w:sz w:val="20"/>
                <w:szCs w:val="20"/>
              </w:rPr>
              <w:t xml:space="preserve">This trade has prioritised visibility in this specific local search</w:t>
            </w:r>
          </w:p>
        </w:tc>
      </w:tr>
      <w:tr>
        <w:tc>
          <w:tcPr>
            <w:tcW w:type="dxa" w:w="2000"/>
            <w:shd w:fill="F8FAFC" w:val="clear"/>
            <w:tcMar>
              <w:top w:type="dxa" w:w="80"/>
              <w:left w:type="dxa" w:w="120"/>
              <w:bottom w:type="dxa" w:w="80"/>
              <w:right w:type="dxa" w:w="120"/>
            </w:tcMar>
          </w:tcPr>
          <w:p>
            <w:r>
              <w:rPr>
                <w:b w:val="false"/>
                <w:bCs w:val="false"/>
                <w:color w:val="111111"/>
                <w:sz w:val="20"/>
                <w:szCs w:val="20"/>
              </w:rPr>
              <w:t xml:space="preserve">“Not yet on WorkedWith” label</w:t>
            </w:r>
          </w:p>
        </w:tc>
        <w:tc>
          <w:tcPr>
            <w:tcW w:type="dxa" w:w="1400"/>
            <w:shd w:fill="F8FAFC" w:val="clear"/>
            <w:tcMar>
              <w:top w:type="dxa" w:w="80"/>
              <w:left w:type="dxa" w:w="120"/>
              <w:bottom w:type="dxa" w:w="80"/>
              <w:right w:type="dxa" w:w="120"/>
            </w:tcMar>
          </w:tcPr>
          <w:p>
            <w:r>
              <w:rPr>
                <w:b w:val="false"/>
                <w:bCs w:val="false"/>
                <w:color w:val="111111"/>
                <w:sz w:val="20"/>
                <w:szCs w:val="20"/>
              </w:rPr>
              <w:t xml:space="preserve">Admin-seeded only</w:t>
            </w:r>
          </w:p>
        </w:tc>
        <w:tc>
          <w:tcPr>
            <w:tcW w:type="dxa" w:w="3200"/>
            <w:shd w:fill="F8FAFC" w:val="clear"/>
            <w:tcMar>
              <w:top w:type="dxa" w:w="80"/>
              <w:left w:type="dxa" w:w="120"/>
              <w:bottom w:type="dxa" w:w="80"/>
              <w:right w:type="dxa" w:w="120"/>
            </w:tcMar>
          </w:tcPr>
          <w:p>
            <w:r>
              <w:rPr>
                <w:b w:val="false"/>
                <w:bCs w:val="false"/>
                <w:color w:val="111111"/>
                <w:sz w:val="20"/>
                <w:szCs w:val="20"/>
              </w:rPr>
              <w:t xml:space="preserve">Search results (when shown, see 9) and the profile page itself, always</w:t>
            </w:r>
          </w:p>
        </w:tc>
        <w:tc>
          <w:tcPr>
            <w:tcW w:type="dxa" w:w="2900"/>
            <w:shd w:fill="F8FAFC" w:val="clear"/>
            <w:tcMar>
              <w:top w:type="dxa" w:w="80"/>
              <w:left w:type="dxa" w:w="120"/>
              <w:bottom w:type="dxa" w:w="80"/>
              <w:right w:type="dxa" w:w="120"/>
            </w:tcMar>
          </w:tcPr>
          <w:p>
            <w:r>
              <w:rPr>
                <w:b w:val="false"/>
                <w:bCs w:val="false"/>
                <w:color w:val="111111"/>
                <w:sz w:val="20"/>
                <w:szCs w:val="20"/>
              </w:rPr>
              <w:t xml:space="preserve">This is not a participating profile — no reviews, no verification, no subscription behind it</w:t>
            </w:r>
          </w:p>
        </w:tc>
      </w:tr>
    </w:tbl>
    <w:p>
      <w:pPr>
        <w:spacing w:after="160"/>
      </w:pPr>
      <w:r>
        <w:t xml:space="preserve">The Pro badge replaces the “Featured badge in search results” name used in prior PRD versions — same feature, renamed for clarity now that it is explicitly decoupled from ranking position. A result card shows at most two badges (Verified or Pro, plus nothing else) to avoid visual clutter; Pro implies and supersedes Verified in display, it does not stack alongside it. The “Not yet on WorkedWith” label is not a badge in this sense — it never appears alongside Verified or Pro, since a seeded profile can hold neither.</w:t>
      </w:r>
    </w:p>
    <w:p>
      <w:pPr>
        <w:pStyle w:val="Heading2"/>
        <w:spacing w:after="120" w:before="260"/>
      </w:pPr>
      <w:r>
        <w:t xml:space="preserve">5.5 Billing</w:t>
      </w:r>
    </w:p>
    <w:p>
      <w:pPr>
        <w:pStyle w:val="ListParagraph"/>
        <w:numPr>
          <w:ilvl w:val="0"/>
          <w:numId w:val="2"/>
        </w:numPr>
        <w:spacing w:after="80"/>
      </w:pPr>
      <w:r>
        <w:t xml:space="preserve">Monthly: rolling monthly, billed on renewal date</w:t>
      </w:r>
    </w:p>
    <w:p>
      <w:pPr>
        <w:pStyle w:val="ListParagraph"/>
        <w:numPr>
          <w:ilvl w:val="0"/>
          <w:numId w:val="2"/>
        </w:numPr>
        <w:spacing w:after="80"/>
      </w:pPr>
      <w:r>
        <w:t xml:space="preserve">Annual: billed upfront for full term, price locked for the duration</w:t>
      </w:r>
    </w:p>
    <w:p>
      <w:pPr>
        <w:pStyle w:val="ListParagraph"/>
        <w:numPr>
          <w:ilvl w:val="0"/>
          <w:numId w:val="2"/>
        </w:numPr>
        <w:spacing w:after="80"/>
      </w:pPr>
      <w:r>
        <w:t xml:space="preserve">Annual saves £19.98 (Standard) or £79.98 (Pro) versus monthly</w:t>
      </w:r>
    </w:p>
    <w:p>
      <w:pPr>
        <w:pStyle w:val="ListParagraph"/>
        <w:numPr>
          <w:ilvl w:val="0"/>
          <w:numId w:val="2"/>
        </w:numPr>
        <w:spacing w:after="80"/>
      </w:pPr>
      <w:r>
        <w:t xml:space="preserve">Cancellation: free at any time, membership active until end of current period</w:t>
      </w:r>
    </w:p>
    <w:p>
      <w:pPr>
        <w:pStyle w:val="ListParagraph"/>
        <w:numPr>
          <w:ilvl w:val="0"/>
          <w:numId w:val="2"/>
        </w:numPr>
        <w:spacing w:after="80"/>
      </w:pPr>
      <w:r>
        <w:t xml:space="preserve">On expiry: account downgrades to Free automatically — no data lost, Boosted Districts cleared including any paid add-on districts (see 4.8)</w:t>
      </w:r>
    </w:p>
    <w:p>
      <w:pPr>
        <w:pStyle w:val="ListParagraph"/>
        <w:numPr>
          <w:ilvl w:val="0"/>
          <w:numId w:val="2"/>
        </w:numPr>
        <w:spacing w:after="80"/>
      </w:pPr>
      <w:r>
        <w:t xml:space="preserve">Annual cancellation: access retained until end of paid term, no partial refunds</w:t>
      </w:r>
    </w:p>
    <w:p>
      <w:pPr>
        <w:pStyle w:val="ListParagraph"/>
        <w:numPr>
          <w:ilvl w:val="0"/>
          <w:numId w:val="2"/>
        </w:numPr>
        <w:spacing w:after="80"/>
      </w:pPr>
      <w:r>
        <w:t xml:space="preserve">Price changes: monthly subscribers notified in advance, annual subscribers protected for current term</w:t>
      </w:r>
    </w:p>
    <w:p>
      <w:pPr>
        <w:pStyle w:val="ListParagraph"/>
        <w:numPr>
          <w:ilvl w:val="0"/>
          <w:numId w:val="2"/>
        </w:numPr>
        <w:spacing w:after="80"/>
      </w:pPr>
      <w:r>
        <w:t xml:space="preserve">Boosted District Add-on: billed as a separate Stripe subscription item (quantity = number of additional districts beyond the included 3) attached to the same Pro subscription. Adding or removing quantity prorates within the current billing period; cancelling Pro cancels all add-on quantity automatically</w:t>
      </w:r>
    </w:p>
    <w:p>
      <w:pPr>
        <w:pStyle w:val="Heading1"/>
        <w:spacing w:after="160" w:before="360"/>
      </w:pPr>
      <w:r>
        <w:t xml:space="preserve">6. Routes and Pages</w:t>
      </w:r>
    </w:p>
    <w:p>
      <w:pPr>
        <w:pStyle w:val="Heading2"/>
        <w:spacing w:after="120" w:before="260"/>
      </w:pPr>
      <w:r>
        <w:t xml:space="preserve">6.1 Public Routes (No Auth Required)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1F2937" w:val="clear"/>
            <w:tcMar>
              <w:top w:type="dxa" w:w="80"/>
              <w:left w:type="dxa" w:w="120"/>
              <w:bottom w:type="dxa" w:w="80"/>
              <w:right w:type="dxa" w:w="120"/>
            </w:tcMar>
          </w:tcPr>
          <w:p>
            <w:r>
              <w:rPr>
                <w:b/>
                <w:bCs/>
                <w:color w:val="FFFFFF"/>
                <w:sz w:val="20"/>
                <w:szCs w:val="20"/>
              </w:rPr>
              <w:t xml:space="preserve">Route</w:t>
            </w:r>
          </w:p>
        </w:tc>
        <w:tc>
          <w:tcPr>
            <w:tcW w:type="dxa" w:w="6500"/>
            <w:shd w:fill="1F2937" w:val="clear"/>
            <w:tcMar>
              <w:top w:type="dxa" w:w="80"/>
              <w:left w:type="dxa" w:w="120"/>
              <w:bottom w:type="dxa" w:w="80"/>
              <w:right w:type="dxa" w:w="120"/>
            </w:tcMar>
          </w:tcPr>
          <w:p>
            <w:r>
              <w:rPr>
                <w:b/>
                <w:bCs/>
                <w:color w:val="FFFFFF"/>
                <w:sz w:val="20"/>
                <w:szCs w:val="20"/>
              </w:rPr>
              <w:t xml:space="preserve">Purpose</w:t>
            </w:r>
          </w:p>
        </w:tc>
      </w:tr>
      <w:tr>
        <w:tc>
          <w:tcPr>
            <w:tcW w:type="dxa" w:w="3100"/>
            <w:tcMar>
              <w:top w:type="dxa" w:w="80"/>
              <w:left w:type="dxa" w:w="120"/>
              <w:bottom w:type="dxa" w:w="80"/>
              <w:right w:type="dxa" w:w="120"/>
            </w:tcMar>
          </w:tcPr>
          <w:p>
            <w:r>
              <w:rPr>
                <w:b w:val="false"/>
                <w:bCs w:val="false"/>
                <w:color w:val="111111"/>
                <w:sz w:val="20"/>
                <w:szCs w:val="20"/>
              </w:rPr>
              <w:t xml:space="preserve">/</w:t>
            </w:r>
          </w:p>
        </w:tc>
        <w:tc>
          <w:tcPr>
            <w:tcW w:type="dxa" w:w="6500"/>
            <w:tcMar>
              <w:top w:type="dxa" w:w="80"/>
              <w:left w:type="dxa" w:w="120"/>
              <w:bottom w:type="dxa" w:w="80"/>
              <w:right w:type="dxa" w:w="120"/>
            </w:tcMar>
          </w:tcPr>
          <w:p>
            <w:r>
              <w:rPr>
                <w:b w:val="false"/>
                <w:bCs w:val="false"/>
                <w:color w:val="111111"/>
                <w:sz w:val="20"/>
                <w:szCs w:val="20"/>
              </w:rPr>
              <w:t xml:space="preserve">Audience selector — tradesperson or client</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/for-trades</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Tradesperson landing page</w:t>
            </w:r>
          </w:p>
        </w:tc>
      </w:tr>
      <w:tr>
        <w:tc>
          <w:tcPr>
            <w:tcW w:type="dxa" w:w="3100"/>
            <w:tcMar>
              <w:top w:type="dxa" w:w="80"/>
              <w:left w:type="dxa" w:w="120"/>
              <w:bottom w:type="dxa" w:w="80"/>
              <w:right w:type="dxa" w:w="120"/>
            </w:tcMar>
          </w:tcPr>
          <w:p>
            <w:r>
              <w:rPr>
                <w:b w:val="false"/>
                <w:bCs w:val="false"/>
                <w:color w:val="111111"/>
                <w:sz w:val="20"/>
                <w:szCs w:val="20"/>
              </w:rPr>
              <w:t xml:space="preserve">/for-clients</w:t>
            </w:r>
          </w:p>
        </w:tc>
        <w:tc>
          <w:tcPr>
            <w:tcW w:type="dxa" w:w="6500"/>
            <w:tcMar>
              <w:top w:type="dxa" w:w="80"/>
              <w:left w:type="dxa" w:w="120"/>
              <w:bottom w:type="dxa" w:w="80"/>
              <w:right w:type="dxa" w:w="120"/>
            </w:tcMar>
          </w:tcPr>
          <w:p>
            <w:r>
              <w:rPr>
                <w:b w:val="false"/>
                <w:bCs w:val="false"/>
                <w:color w:val="111111"/>
                <w:sz w:val="20"/>
                <w:szCs w:val="20"/>
              </w:rPr>
              <w:t xml:space="preserve">Client landing page with search</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/find</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Tradesperson search (results require auth)</w:t>
            </w:r>
          </w:p>
        </w:tc>
      </w:tr>
      <w:tr>
        <w:tc>
          <w:tcPr>
            <w:tcW w:type="dxa" w:w="3100"/>
            <w:tcMar>
              <w:top w:type="dxa" w:w="80"/>
              <w:left w:type="dxa" w:w="120"/>
              <w:bottom w:type="dxa" w:w="80"/>
              <w:right w:type="dxa" w:w="120"/>
            </w:tcMar>
          </w:tcPr>
          <w:p>
            <w:r>
              <w:rPr>
                <w:b w:val="false"/>
                <w:bCs w:val="false"/>
                <w:color w:val="111111"/>
                <w:sz w:val="20"/>
                <w:szCs w:val="20"/>
              </w:rPr>
              <w:t xml:space="preserve">/t/[slug]</w:t>
            </w:r>
          </w:p>
        </w:tc>
        <w:tc>
          <w:tcPr>
            <w:tcW w:type="dxa" w:w="6500"/>
            <w:tcMar>
              <w:top w:type="dxa" w:w="80"/>
              <w:left w:type="dxa" w:w="120"/>
              <w:bottom w:type="dxa" w:w="80"/>
              <w:right w:type="dxa" w:w="120"/>
            </w:tcMar>
          </w:tcPr>
          <w:p>
            <w:r>
              <w:rPr>
                <w:b w:val="false"/>
                <w:bCs w:val="false"/>
                <w:color w:val="111111"/>
                <w:sz w:val="20"/>
                <w:szCs w:val="20"/>
              </w:rPr>
              <w:t xml:space="preserve">Public tradesperson profile — real, seeded (unclaimed), or demo (see 2.7, 9)</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/pricing</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Pricing page — Free, Standard, Pro</w:t>
            </w:r>
          </w:p>
        </w:tc>
      </w:tr>
      <w:tr>
        <w:tc>
          <w:tcPr>
            <w:tcW w:type="dxa" w:w="3100"/>
            <w:tcMar>
              <w:top w:type="dxa" w:w="80"/>
              <w:left w:type="dxa" w:w="120"/>
              <w:bottom w:type="dxa" w:w="80"/>
              <w:right w:type="dxa" w:w="120"/>
            </w:tcMar>
          </w:tcPr>
          <w:p>
            <w:r>
              <w:rPr>
                <w:b w:val="false"/>
                <w:bCs w:val="false"/>
                <w:color w:val="111111"/>
                <w:sz w:val="20"/>
                <w:szCs w:val="20"/>
              </w:rPr>
              <w:t xml:space="preserve">/faq</w:t>
            </w:r>
          </w:p>
        </w:tc>
        <w:tc>
          <w:tcPr>
            <w:tcW w:type="dxa" w:w="6500"/>
            <w:tcMar>
              <w:top w:type="dxa" w:w="80"/>
              <w:left w:type="dxa" w:w="120"/>
              <w:bottom w:type="dxa" w:w="80"/>
              <w:right w:type="dxa" w:w="120"/>
            </w:tcMar>
          </w:tcPr>
          <w:p>
            <w:r>
              <w:rPr>
                <w:b w:val="false"/>
                <w:bCs w:val="false"/>
                <w:color w:val="111111"/>
                <w:sz w:val="20"/>
                <w:szCs w:val="20"/>
              </w:rPr>
              <w:t xml:space="preserve">Frequently asked questions</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/terms</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Terms of Service</w:t>
            </w:r>
          </w:p>
        </w:tc>
      </w:tr>
      <w:tr>
        <w:tc>
          <w:tcPr>
            <w:tcW w:type="dxa" w:w="3100"/>
            <w:tcMar>
              <w:top w:type="dxa" w:w="80"/>
              <w:left w:type="dxa" w:w="120"/>
              <w:bottom w:type="dxa" w:w="80"/>
              <w:right w:type="dxa" w:w="120"/>
            </w:tcMar>
          </w:tcPr>
          <w:p>
            <w:r>
              <w:rPr>
                <w:b w:val="false"/>
                <w:bCs w:val="false"/>
                <w:color w:val="111111"/>
                <w:sz w:val="20"/>
                <w:szCs w:val="20"/>
              </w:rPr>
              <w:t xml:space="preserve">/privacy</w:t>
            </w:r>
          </w:p>
        </w:tc>
        <w:tc>
          <w:tcPr>
            <w:tcW w:type="dxa" w:w="6500"/>
            <w:tcMar>
              <w:top w:type="dxa" w:w="80"/>
              <w:left w:type="dxa" w:w="120"/>
              <w:bottom w:type="dxa" w:w="80"/>
              <w:right w:type="dxa" w:w="120"/>
            </w:tcMar>
          </w:tcPr>
          <w:p>
            <w:r>
              <w:rPr>
                <w:b w:val="false"/>
                <w:bCs w:val="false"/>
                <w:color w:val="111111"/>
                <w:sz w:val="20"/>
                <w:szCs w:val="20"/>
              </w:rPr>
              <w:t xml:space="preserve">Privacy Policy</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/sign-in</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Sign in</w:t>
            </w:r>
          </w:p>
        </w:tc>
      </w:tr>
      <w:tr>
        <w:tc>
          <w:tcPr>
            <w:tcW w:type="dxa" w:w="3100"/>
            <w:tcMar>
              <w:top w:type="dxa" w:w="80"/>
              <w:left w:type="dxa" w:w="120"/>
              <w:bottom w:type="dxa" w:w="80"/>
              <w:right w:type="dxa" w:w="120"/>
            </w:tcMar>
          </w:tcPr>
          <w:p>
            <w:r>
              <w:rPr>
                <w:b w:val="false"/>
                <w:bCs w:val="false"/>
                <w:color w:val="111111"/>
                <w:sz w:val="20"/>
                <w:szCs w:val="20"/>
              </w:rPr>
              <w:t xml:space="preserve">/join/trade</w:t>
            </w:r>
          </w:p>
        </w:tc>
        <w:tc>
          <w:tcPr>
            <w:tcW w:type="dxa" w:w="6500"/>
            <w:tcMar>
              <w:top w:type="dxa" w:w="80"/>
              <w:left w:type="dxa" w:w="120"/>
              <w:bottom w:type="dxa" w:w="80"/>
              <w:right w:type="dxa" w:w="120"/>
            </w:tcMar>
          </w:tcPr>
          <w:p>
            <w:r>
              <w:rPr>
                <w:b w:val="false"/>
                <w:bCs w:val="false"/>
                <w:color w:val="111111"/>
                <w:sz w:val="20"/>
                <w:szCs w:val="20"/>
              </w:rPr>
              <w:t xml:space="preserve">Tradesperson registration</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/join/client/individual</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Individual client registration</w:t>
            </w:r>
          </w:p>
        </w:tc>
      </w:tr>
      <w:tr>
        <w:tc>
          <w:tcPr>
            <w:tcW w:type="dxa" w:w="3100"/>
            <w:tcMar>
              <w:top w:type="dxa" w:w="80"/>
              <w:left w:type="dxa" w:w="120"/>
              <w:bottom w:type="dxa" w:w="80"/>
              <w:right w:type="dxa" w:w="120"/>
            </w:tcMar>
          </w:tcPr>
          <w:p>
            <w:r>
              <w:rPr>
                <w:b w:val="false"/>
                <w:bCs w:val="false"/>
                <w:color w:val="111111"/>
                <w:sz w:val="20"/>
                <w:szCs w:val="20"/>
              </w:rPr>
              <w:t xml:space="preserve">/join/client/business</w:t>
            </w:r>
          </w:p>
        </w:tc>
        <w:tc>
          <w:tcPr>
            <w:tcW w:type="dxa" w:w="6500"/>
            <w:tcMar>
              <w:top w:type="dxa" w:w="80"/>
              <w:left w:type="dxa" w:w="120"/>
              <w:bottom w:type="dxa" w:w="80"/>
              <w:right w:type="dxa" w:w="120"/>
            </w:tcMar>
          </w:tcPr>
          <w:p>
            <w:r>
              <w:rPr>
                <w:b w:val="false"/>
                <w:bCs w:val="false"/>
                <w:color w:val="111111"/>
                <w:sz w:val="20"/>
                <w:szCs w:val="20"/>
              </w:rPr>
              <w:t xml:space="preserve">Business client registration</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/verify/phone</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Phone OTP verification</w:t>
            </w:r>
          </w:p>
        </w:tc>
      </w:tr>
      <w:tr>
        <w:tc>
          <w:tcPr>
            <w:tcW w:type="dxa" w:w="3100"/>
            <w:tcMar>
              <w:top w:type="dxa" w:w="80"/>
              <w:left w:type="dxa" w:w="120"/>
              <w:bottom w:type="dxa" w:w="80"/>
              <w:right w:type="dxa" w:w="120"/>
            </w:tcMar>
          </w:tcPr>
          <w:p>
            <w:r>
              <w:rPr>
                <w:b w:val="false"/>
                <w:bCs w:val="false"/>
                <w:color w:val="111111"/>
                <w:sz w:val="20"/>
                <w:szCs w:val="20"/>
              </w:rPr>
              <w:t xml:space="preserve">/verify/identity</w:t>
            </w:r>
          </w:p>
        </w:tc>
        <w:tc>
          <w:tcPr>
            <w:tcW w:type="dxa" w:w="6500"/>
            <w:tcMar>
              <w:top w:type="dxa" w:w="80"/>
              <w:left w:type="dxa" w:w="120"/>
              <w:bottom w:type="dxa" w:w="80"/>
              <w:right w:type="dxa" w:w="120"/>
            </w:tcMar>
          </w:tcPr>
          <w:p>
            <w:r>
              <w:rPr>
                <w:b w:val="false"/>
                <w:bCs w:val="false"/>
                <w:color w:val="111111"/>
                <w:sz w:val="20"/>
                <w:szCs w:val="20"/>
              </w:rPr>
              <w:t xml:space="preserve">Optional driving licence upload</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/auth/callback</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Supabase email confirmation handler</w:t>
            </w:r>
          </w:p>
        </w:tc>
      </w:tr>
      <w:tr>
        <w:tc>
          <w:tcPr>
            <w:tcW w:type="dxa" w:w="3100"/>
            <w:tcMar>
              <w:top w:type="dxa" w:w="80"/>
              <w:left w:type="dxa" w:w="120"/>
              <w:bottom w:type="dxa" w:w="80"/>
              <w:right w:type="dxa" w:w="120"/>
            </w:tcMar>
          </w:tcPr>
          <w:p>
            <w:r>
              <w:rPr>
                <w:b w:val="false"/>
                <w:bCs w:val="false"/>
                <w:color w:val="111111"/>
                <w:sz w:val="20"/>
                <w:szCs w:val="20"/>
              </w:rPr>
              <w:t xml:space="preserve">/invite/job/[token]</w:t>
            </w:r>
          </w:p>
        </w:tc>
        <w:tc>
          <w:tcPr>
            <w:tcW w:type="dxa" w:w="6500"/>
            <w:tcMar>
              <w:top w:type="dxa" w:w="80"/>
              <w:left w:type="dxa" w:w="120"/>
              <w:bottom w:type="dxa" w:w="80"/>
              <w:right w:type="dxa" w:w="120"/>
            </w:tcMar>
          </w:tcPr>
          <w:p>
            <w:r>
              <w:rPr>
                <w:b w:val="false"/>
                <w:bCs w:val="false"/>
                <w:color w:val="111111"/>
                <w:sz w:val="20"/>
                <w:szCs w:val="20"/>
              </w:rPr>
              <w:t xml:space="preserve">Job invite landing page for new users</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/invite/claim/[token]</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Trade claim landing page — client-initiated job invite (4.7)</w:t>
            </w:r>
          </w:p>
        </w:tc>
      </w:tr>
      <w:tr>
        <w:tc>
          <w:tcPr>
            <w:tcW w:type="dxa" w:w="3100"/>
            <w:tcMar>
              <w:top w:type="dxa" w:w="80"/>
              <w:left w:type="dxa" w:w="120"/>
              <w:bottom w:type="dxa" w:w="80"/>
              <w:right w:type="dxa" w:w="120"/>
            </w:tcMar>
          </w:tcPr>
          <w:p>
            <w:r>
              <w:rPr>
                <w:b w:val="false"/>
                <w:bCs w:val="false"/>
                <w:color w:val="111111"/>
                <w:sz w:val="20"/>
                <w:szCs w:val="20"/>
              </w:rPr>
              <w:t xml:space="preserve">/claim/[token]</w:t>
            </w:r>
          </w:p>
        </w:tc>
        <w:tc>
          <w:tcPr>
            <w:tcW w:type="dxa" w:w="6500"/>
            <w:tcMar>
              <w:top w:type="dxa" w:w="80"/>
              <w:left w:type="dxa" w:w="120"/>
              <w:bottom w:type="dxa" w:w="80"/>
              <w:right w:type="dxa" w:w="120"/>
            </w:tcMar>
          </w:tcPr>
          <w:p>
            <w:r>
              <w:rPr>
                <w:b w:val="false"/>
                <w:bCs w:val="false"/>
                <w:color w:val="111111"/>
                <w:sz w:val="20"/>
                <w:szCs w:val="20"/>
              </w:rPr>
              <w:t xml:space="preserve">Seeded profile claim landing page — admin-seeded listings (4.9) (NEW)</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/jobs/confirm/[token]</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Job confirmation for existing users</w:t>
            </w:r>
          </w:p>
        </w:tc>
      </w:tr>
      <w:tr>
        <w:tc>
          <w:tcPr>
            <w:tcW w:type="dxa" w:w="3100"/>
            <w:tcMar>
              <w:top w:type="dxa" w:w="80"/>
              <w:left w:type="dxa" w:w="120"/>
              <w:bottom w:type="dxa" w:w="80"/>
              <w:right w:type="dxa" w:w="120"/>
            </w:tcMar>
          </w:tcPr>
          <w:p>
            <w:r>
              <w:rPr>
                <w:b w:val="false"/>
                <w:bCs w:val="false"/>
                <w:color w:val="111111"/>
                <w:sz w:val="20"/>
                <w:szCs w:val="20"/>
              </w:rPr>
              <w:t xml:space="preserve">/check-email</w:t>
            </w:r>
          </w:p>
        </w:tc>
        <w:tc>
          <w:tcPr>
            <w:tcW w:type="dxa" w:w="6500"/>
            <w:tcMar>
              <w:top w:type="dxa" w:w="80"/>
              <w:left w:type="dxa" w:w="120"/>
              <w:bottom w:type="dxa" w:w="80"/>
              <w:right w:type="dxa" w:w="120"/>
            </w:tcMar>
          </w:tcPr>
          <w:p>
            <w:r>
              <w:rPr>
                <w:b w:val="false"/>
                <w:bCs w:val="false"/>
                <w:color w:val="111111"/>
                <w:sz w:val="20"/>
                <w:szCs w:val="20"/>
              </w:rPr>
              <w:t xml:space="preserve">Post-signup email check prompt</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/welcome</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Post-onboarding pricing prompt (trade)</w:t>
            </w:r>
          </w:p>
        </w:tc>
      </w:tr>
    </w:tbl>
    <w:p>
      <w:pPr>
        <w:pStyle w:val="Heading2"/>
        <w:spacing w:after="120" w:before="260"/>
      </w:pPr>
      <w:r>
        <w:t xml:space="preserve">6.2 Authenticated Routes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1F2937" w:val="clear"/>
            <w:tcMar>
              <w:top w:type="dxa" w:w="80"/>
              <w:left w:type="dxa" w:w="120"/>
              <w:bottom w:type="dxa" w:w="80"/>
              <w:right w:type="dxa" w:w="120"/>
            </w:tcMar>
          </w:tcPr>
          <w:p>
            <w:r>
              <w:rPr>
                <w:b/>
                <w:bCs/>
                <w:color w:val="FFFFFF"/>
                <w:sz w:val="20"/>
                <w:szCs w:val="20"/>
              </w:rPr>
              <w:t xml:space="preserve">Route</w:t>
            </w:r>
          </w:p>
        </w:tc>
        <w:tc>
          <w:tcPr>
            <w:tcW w:type="dxa" w:w="6500"/>
            <w:shd w:fill="1F2937" w:val="clear"/>
            <w:tcMar>
              <w:top w:type="dxa" w:w="80"/>
              <w:left w:type="dxa" w:w="120"/>
              <w:bottom w:type="dxa" w:w="80"/>
              <w:right w:type="dxa" w:w="120"/>
            </w:tcMar>
          </w:tcPr>
          <w:p>
            <w:r>
              <w:rPr>
                <w:b/>
                <w:bCs/>
                <w:color w:val="FFFFFF"/>
                <w:sz w:val="20"/>
                <w:szCs w:val="20"/>
              </w:rPr>
              <w:t xml:space="preserve">Purpose</w:t>
            </w:r>
          </w:p>
        </w:tc>
      </w:tr>
      <w:tr>
        <w:tc>
          <w:tcPr>
            <w:tcW w:type="dxa" w:w="3100"/>
            <w:tcMar>
              <w:top w:type="dxa" w:w="80"/>
              <w:left w:type="dxa" w:w="120"/>
              <w:bottom w:type="dxa" w:w="80"/>
              <w:right w:type="dxa" w:w="120"/>
            </w:tcMar>
          </w:tcPr>
          <w:p>
            <w:r>
              <w:rPr>
                <w:b w:val="false"/>
                <w:bCs w:val="false"/>
                <w:color w:val="111111"/>
                <w:sz w:val="20"/>
                <w:szCs w:val="20"/>
              </w:rPr>
              <w:t xml:space="preserve">/dashboard</w:t>
            </w:r>
          </w:p>
        </w:tc>
        <w:tc>
          <w:tcPr>
            <w:tcW w:type="dxa" w:w="6500"/>
            <w:tcMar>
              <w:top w:type="dxa" w:w="80"/>
              <w:left w:type="dxa" w:w="120"/>
              <w:bottom w:type="dxa" w:w="80"/>
              <w:right w:type="dxa" w:w="120"/>
            </w:tcMar>
          </w:tcPr>
          <w:p>
            <w:r>
              <w:rPr>
                <w:b w:val="false"/>
                <w:bCs w:val="false"/>
                <w:color w:val="111111"/>
                <w:sz w:val="20"/>
                <w:szCs w:val="20"/>
              </w:rPr>
              <w:t xml:space="preserve">Trade and client dashboard</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/profile</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Edit profile and upload photo</w:t>
            </w:r>
          </w:p>
        </w:tc>
      </w:tr>
      <w:tr>
        <w:tc>
          <w:tcPr>
            <w:tcW w:type="dxa" w:w="3100"/>
            <w:tcMar>
              <w:top w:type="dxa" w:w="80"/>
              <w:left w:type="dxa" w:w="120"/>
              <w:bottom w:type="dxa" w:w="80"/>
              <w:right w:type="dxa" w:w="120"/>
            </w:tcMar>
          </w:tcPr>
          <w:p>
            <w:r>
              <w:rPr>
                <w:b w:val="false"/>
                <w:bCs w:val="false"/>
                <w:color w:val="111111"/>
                <w:sz w:val="20"/>
                <w:szCs w:val="20"/>
              </w:rPr>
              <w:t xml:space="preserve">/profile/areas</w:t>
            </w:r>
          </w:p>
        </w:tc>
        <w:tc>
          <w:tcPr>
            <w:tcW w:type="dxa" w:w="6500"/>
            <w:tcMar>
              <w:top w:type="dxa" w:w="80"/>
              <w:left w:type="dxa" w:w="120"/>
              <w:bottom w:type="dxa" w:w="80"/>
              <w:right w:type="dxa" w:w="120"/>
            </w:tcMar>
          </w:tcPr>
          <w:p>
            <w:r>
              <w:rPr>
                <w:b w:val="false"/>
                <w:bCs w:val="false"/>
                <w:color w:val="111111"/>
                <w:sz w:val="20"/>
                <w:szCs w:val="20"/>
              </w:rPr>
              <w:t xml:space="preserve">Manage Operating Areas and (Pro) Boosted Districts</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/settings</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Password reset, sign out, delete account</w:t>
            </w:r>
          </w:p>
        </w:tc>
      </w:tr>
      <w:tr>
        <w:tc>
          <w:tcPr>
            <w:tcW w:type="dxa" w:w="3100"/>
            <w:tcMar>
              <w:top w:type="dxa" w:w="80"/>
              <w:left w:type="dxa" w:w="120"/>
              <w:bottom w:type="dxa" w:w="80"/>
              <w:right w:type="dxa" w:w="120"/>
            </w:tcMar>
          </w:tcPr>
          <w:p>
            <w:r>
              <w:rPr>
                <w:b w:val="false"/>
                <w:bCs w:val="false"/>
                <w:color w:val="111111"/>
                <w:sz w:val="20"/>
                <w:szCs w:val="20"/>
              </w:rPr>
              <w:t xml:space="preserve">/notifications</w:t>
            </w:r>
          </w:p>
        </w:tc>
        <w:tc>
          <w:tcPr>
            <w:tcW w:type="dxa" w:w="6500"/>
            <w:tcMar>
              <w:top w:type="dxa" w:w="80"/>
              <w:left w:type="dxa" w:w="120"/>
              <w:bottom w:type="dxa" w:w="80"/>
              <w:right w:type="dxa" w:w="120"/>
            </w:tcMar>
          </w:tcPr>
          <w:p>
            <w:r>
              <w:rPr>
                <w:b w:val="false"/>
                <w:bCs w:val="false"/>
                <w:color w:val="111111"/>
                <w:sz w:val="20"/>
                <w:szCs w:val="20"/>
              </w:rPr>
              <w:t xml:space="preserve">Full notification list</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/jobs/log</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Log a live job</w:t>
            </w:r>
          </w:p>
        </w:tc>
      </w:tr>
      <w:tr>
        <w:tc>
          <w:tcPr>
            <w:tcW w:type="dxa" w:w="3100"/>
            <w:tcMar>
              <w:top w:type="dxa" w:w="80"/>
              <w:left w:type="dxa" w:w="120"/>
              <w:bottom w:type="dxa" w:w="80"/>
              <w:right w:type="dxa" w:w="120"/>
            </w:tcMar>
          </w:tcPr>
          <w:p>
            <w:r>
              <w:rPr>
                <w:b w:val="false"/>
                <w:bCs w:val="false"/>
                <w:color w:val="111111"/>
                <w:sz w:val="20"/>
                <w:szCs w:val="20"/>
              </w:rPr>
              <w:t xml:space="preserve">/jobs/log/backdated</w:t>
            </w:r>
          </w:p>
        </w:tc>
        <w:tc>
          <w:tcPr>
            <w:tcW w:type="dxa" w:w="6500"/>
            <w:tcMar>
              <w:top w:type="dxa" w:w="80"/>
              <w:left w:type="dxa" w:w="120"/>
              <w:bottom w:type="dxa" w:w="80"/>
              <w:right w:type="dxa" w:w="120"/>
            </w:tcMar>
          </w:tcPr>
          <w:p>
            <w:r>
              <w:rPr>
                <w:b w:val="false"/>
                <w:bCs w:val="false"/>
                <w:color w:val="111111"/>
                <w:sz w:val="20"/>
                <w:szCs w:val="20"/>
              </w:rPr>
              <w:t xml:space="preserve">Add a past job</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/jobs/log/invite-trade</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Client invites an unregistered tradesperson to confirm a job</w:t>
            </w:r>
          </w:p>
        </w:tc>
      </w:tr>
      <w:tr>
        <w:tc>
          <w:tcPr>
            <w:tcW w:type="dxa" w:w="3100"/>
            <w:tcMar>
              <w:top w:type="dxa" w:w="80"/>
              <w:left w:type="dxa" w:w="120"/>
              <w:bottom w:type="dxa" w:w="80"/>
              <w:right w:type="dxa" w:w="120"/>
            </w:tcMar>
          </w:tcPr>
          <w:p>
            <w:r>
              <w:rPr>
                <w:b w:val="false"/>
                <w:bCs w:val="false"/>
                <w:color w:val="111111"/>
                <w:sz w:val="20"/>
                <w:szCs w:val="20"/>
              </w:rPr>
              <w:t xml:space="preserve">/jobs/[id]</w:t>
            </w:r>
          </w:p>
        </w:tc>
        <w:tc>
          <w:tcPr>
            <w:tcW w:type="dxa" w:w="6500"/>
            <w:tcMar>
              <w:top w:type="dxa" w:w="80"/>
              <w:left w:type="dxa" w:w="120"/>
              <w:bottom w:type="dxa" w:w="80"/>
              <w:right w:type="dxa" w:w="120"/>
            </w:tcMar>
          </w:tcPr>
          <w:p>
            <w:r>
              <w:rPr>
                <w:b w:val="false"/>
                <w:bCs w:val="false"/>
                <w:color w:val="111111"/>
                <w:sz w:val="20"/>
                <w:szCs w:val="20"/>
              </w:rPr>
              <w:t xml:space="preserve">Job detail</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/jobs/[id]/review</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Submit review for a job</w:t>
            </w:r>
          </w:p>
        </w:tc>
      </w:tr>
      <w:tr>
        <w:tc>
          <w:tcPr>
            <w:tcW w:type="dxa" w:w="3100"/>
            <w:tcMar>
              <w:top w:type="dxa" w:w="80"/>
              <w:left w:type="dxa" w:w="120"/>
              <w:bottom w:type="dxa" w:w="80"/>
              <w:right w:type="dxa" w:w="120"/>
            </w:tcMar>
          </w:tcPr>
          <w:p>
            <w:r>
              <w:rPr>
                <w:b w:val="false"/>
                <w:bCs w:val="false"/>
                <w:color w:val="111111"/>
                <w:sz w:val="20"/>
                <w:szCs w:val="20"/>
              </w:rPr>
              <w:t xml:space="preserve">/reviews/[id]/dispute</w:t>
            </w:r>
          </w:p>
        </w:tc>
        <w:tc>
          <w:tcPr>
            <w:tcW w:type="dxa" w:w="6500"/>
            <w:tcMar>
              <w:top w:type="dxa" w:w="80"/>
              <w:left w:type="dxa" w:w="120"/>
              <w:bottom w:type="dxa" w:w="80"/>
              <w:right w:type="dxa" w:w="120"/>
            </w:tcMar>
          </w:tcPr>
          <w:p>
            <w:r>
              <w:rPr>
                <w:b w:val="false"/>
                <w:bCs w:val="false"/>
                <w:color w:val="111111"/>
                <w:sz w:val="20"/>
                <w:szCs w:val="20"/>
              </w:rPr>
              <w:t xml:space="preserve">Raise a dispute on a review</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/search</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Client lookup by username (trade)</w:t>
            </w:r>
          </w:p>
        </w:tc>
      </w:tr>
      <w:tr>
        <w:tc>
          <w:tcPr>
            <w:tcW w:type="dxa" w:w="3100"/>
            <w:tcMar>
              <w:top w:type="dxa" w:w="80"/>
              <w:left w:type="dxa" w:w="120"/>
              <w:bottom w:type="dxa" w:w="80"/>
              <w:right w:type="dxa" w:w="120"/>
            </w:tcMar>
          </w:tcPr>
          <w:p>
            <w:r>
              <w:rPr>
                <w:b w:val="false"/>
                <w:bCs w:val="false"/>
                <w:color w:val="111111"/>
                <w:sz w:val="20"/>
                <w:szCs w:val="20"/>
              </w:rPr>
              <w:t xml:space="preserve">/subscription</w:t>
            </w:r>
          </w:p>
        </w:tc>
        <w:tc>
          <w:tcPr>
            <w:tcW w:type="dxa" w:w="6500"/>
            <w:tcMar>
              <w:top w:type="dxa" w:w="80"/>
              <w:left w:type="dxa" w:w="120"/>
              <w:bottom w:type="dxa" w:w="80"/>
              <w:right w:type="dxa" w:w="120"/>
            </w:tcMar>
          </w:tcPr>
          <w:p>
            <w:r>
              <w:rPr>
                <w:b w:val="false"/>
                <w:bCs w:val="false"/>
                <w:color w:val="111111"/>
                <w:sz w:val="20"/>
                <w:szCs w:val="20"/>
              </w:rPr>
              <w:t xml:space="preserve">Subscription management</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/subscription/success</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Post-checkout confirmation</w:t>
            </w:r>
          </w:p>
        </w:tc>
      </w:tr>
      <w:tr>
        <w:tc>
          <w:tcPr>
            <w:tcW w:type="dxa" w:w="3100"/>
            <w:tcMar>
              <w:top w:type="dxa" w:w="80"/>
              <w:left w:type="dxa" w:w="120"/>
              <w:bottom w:type="dxa" w:w="80"/>
              <w:right w:type="dxa" w:w="120"/>
            </w:tcMar>
          </w:tcPr>
          <w:p>
            <w:r>
              <w:rPr>
                <w:b w:val="false"/>
                <w:bCs w:val="false"/>
                <w:color w:val="111111"/>
                <w:sz w:val="20"/>
                <w:szCs w:val="20"/>
              </w:rPr>
              <w:t xml:space="preserve">/profile/featured-jobs</w:t>
            </w:r>
          </w:p>
        </w:tc>
        <w:tc>
          <w:tcPr>
            <w:tcW w:type="dxa" w:w="6500"/>
            <w:tcMar>
              <w:top w:type="dxa" w:w="80"/>
              <w:left w:type="dxa" w:w="120"/>
              <w:bottom w:type="dxa" w:w="80"/>
              <w:right w:type="dxa" w:w="120"/>
            </w:tcMar>
          </w:tcPr>
          <w:p>
            <w:r>
              <w:rPr>
                <w:b w:val="false"/>
                <w:bCs w:val="false"/>
                <w:color w:val="111111"/>
                <w:sz w:val="20"/>
                <w:szCs w:val="20"/>
              </w:rPr>
              <w:t xml:space="preserve">Manage featured job images (Standard/Pro)</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/onboarding/trade</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Trade profile creation — pre-populated when arriving via a claimed seeded profile (4.9)</w:t>
            </w:r>
          </w:p>
        </w:tc>
      </w:tr>
      <w:tr>
        <w:tc>
          <w:tcPr>
            <w:tcW w:type="dxa" w:w="3100"/>
            <w:tcMar>
              <w:top w:type="dxa" w:w="80"/>
              <w:left w:type="dxa" w:w="120"/>
              <w:bottom w:type="dxa" w:w="80"/>
              <w:right w:type="dxa" w:w="120"/>
            </w:tcMar>
          </w:tcPr>
          <w:p>
            <w:r>
              <w:rPr>
                <w:b w:val="false"/>
                <w:bCs w:val="false"/>
                <w:color w:val="111111"/>
                <w:sz w:val="20"/>
                <w:szCs w:val="20"/>
              </w:rPr>
              <w:t xml:space="preserve">/onboarding/individual</w:t>
            </w:r>
          </w:p>
        </w:tc>
        <w:tc>
          <w:tcPr>
            <w:tcW w:type="dxa" w:w="6500"/>
            <w:tcMar>
              <w:top w:type="dxa" w:w="80"/>
              <w:left w:type="dxa" w:w="120"/>
              <w:bottom w:type="dxa" w:w="80"/>
              <w:right w:type="dxa" w:w="120"/>
            </w:tcMar>
          </w:tcPr>
          <w:p>
            <w:r>
              <w:rPr>
                <w:b w:val="false"/>
                <w:bCs w:val="false"/>
                <w:color w:val="111111"/>
                <w:sz w:val="20"/>
                <w:szCs w:val="20"/>
              </w:rPr>
              <w:t xml:space="preserve">Individual client profile creation</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/onboarding/business</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Business client profile creation</w:t>
            </w:r>
          </w:p>
        </w:tc>
      </w:tr>
    </w:tbl>
    <w:p>
      <w:pPr>
        <w:pStyle w:val="Heading2"/>
        <w:spacing w:after="120" w:before="260"/>
      </w:pPr>
      <w:r>
        <w:t xml:space="preserve">6.3 Admin Routes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1F2937" w:val="clear"/>
            <w:tcMar>
              <w:top w:type="dxa" w:w="80"/>
              <w:left w:type="dxa" w:w="120"/>
              <w:bottom w:type="dxa" w:w="80"/>
              <w:right w:type="dxa" w:w="120"/>
            </w:tcMar>
          </w:tcPr>
          <w:p>
            <w:r>
              <w:rPr>
                <w:b/>
                <w:bCs/>
                <w:color w:val="FFFFFF"/>
                <w:sz w:val="20"/>
                <w:szCs w:val="20"/>
              </w:rPr>
              <w:t xml:space="preserve">Route</w:t>
            </w:r>
          </w:p>
        </w:tc>
        <w:tc>
          <w:tcPr>
            <w:tcW w:type="dxa" w:w="6500"/>
            <w:shd w:fill="1F2937" w:val="clear"/>
            <w:tcMar>
              <w:top w:type="dxa" w:w="80"/>
              <w:left w:type="dxa" w:w="120"/>
              <w:bottom w:type="dxa" w:w="80"/>
              <w:right w:type="dxa" w:w="120"/>
            </w:tcMar>
          </w:tcPr>
          <w:p>
            <w:r>
              <w:rPr>
                <w:b/>
                <w:bCs/>
                <w:color w:val="FFFFFF"/>
                <w:sz w:val="20"/>
                <w:szCs w:val="20"/>
              </w:rPr>
              <w:t xml:space="preserve">Purpose</w:t>
            </w:r>
          </w:p>
        </w:tc>
      </w:tr>
      <w:tr>
        <w:tc>
          <w:tcPr>
            <w:tcW w:type="dxa" w:w="3100"/>
            <w:tcMar>
              <w:top w:type="dxa" w:w="80"/>
              <w:left w:type="dxa" w:w="120"/>
              <w:bottom w:type="dxa" w:w="80"/>
              <w:right w:type="dxa" w:w="120"/>
            </w:tcMar>
          </w:tcPr>
          <w:p>
            <w:r>
              <w:rPr>
                <w:b w:val="false"/>
                <w:bCs w:val="false"/>
                <w:color w:val="111111"/>
                <w:sz w:val="20"/>
                <w:szCs w:val="20"/>
              </w:rPr>
              <w:t xml:space="preserve">/admin</w:t>
            </w:r>
          </w:p>
        </w:tc>
        <w:tc>
          <w:tcPr>
            <w:tcW w:type="dxa" w:w="6500"/>
            <w:tcMar>
              <w:top w:type="dxa" w:w="80"/>
              <w:left w:type="dxa" w:w="120"/>
              <w:bottom w:type="dxa" w:w="80"/>
              <w:right w:type="dxa" w:w="120"/>
            </w:tcMar>
          </w:tcPr>
          <w:p>
            <w:r>
              <w:rPr>
                <w:b w:val="false"/>
                <w:bCs w:val="false"/>
                <w:color w:val="111111"/>
                <w:sz w:val="20"/>
                <w:szCs w:val="20"/>
              </w:rPr>
              <w:t xml:space="preserve">Overview dashboard with counts</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/admin/disputes</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Dispute queue — sorted by deadline, Pro priority</w:t>
            </w:r>
          </w:p>
        </w:tc>
      </w:tr>
      <w:tr>
        <w:tc>
          <w:tcPr>
            <w:tcW w:type="dxa" w:w="3100"/>
            <w:tcMar>
              <w:top w:type="dxa" w:w="80"/>
              <w:left w:type="dxa" w:w="120"/>
              <w:bottom w:type="dxa" w:w="80"/>
              <w:right w:type="dxa" w:w="120"/>
            </w:tcMar>
          </w:tcPr>
          <w:p>
            <w:r>
              <w:rPr>
                <w:b w:val="false"/>
                <w:bCs w:val="false"/>
                <w:color w:val="111111"/>
                <w:sz w:val="20"/>
                <w:szCs w:val="20"/>
              </w:rPr>
              <w:t xml:space="preserve">/admin/verification</w:t>
            </w:r>
          </w:p>
        </w:tc>
        <w:tc>
          <w:tcPr>
            <w:tcW w:type="dxa" w:w="6500"/>
            <w:tcMar>
              <w:top w:type="dxa" w:w="80"/>
              <w:left w:type="dxa" w:w="120"/>
              <w:bottom w:type="dxa" w:w="80"/>
              <w:right w:type="dxa" w:w="120"/>
            </w:tcMar>
          </w:tcPr>
          <w:p>
            <w:r>
              <w:rPr>
                <w:b w:val="false"/>
                <w:bCs w:val="false"/>
                <w:color w:val="111111"/>
                <w:sz w:val="20"/>
                <w:szCs w:val="20"/>
              </w:rPr>
              <w:t xml:space="preserve">ID verification queue</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/admin/flags</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Flagged reviews</w:t>
            </w:r>
          </w:p>
        </w:tc>
      </w:tr>
      <w:tr>
        <w:tc>
          <w:tcPr>
            <w:tcW w:type="dxa" w:w="3100"/>
            <w:tcMar>
              <w:top w:type="dxa" w:w="80"/>
              <w:left w:type="dxa" w:w="120"/>
              <w:bottom w:type="dxa" w:w="80"/>
              <w:right w:type="dxa" w:w="120"/>
            </w:tcMar>
          </w:tcPr>
          <w:p>
            <w:r>
              <w:rPr>
                <w:b w:val="false"/>
                <w:bCs w:val="false"/>
                <w:color w:val="111111"/>
                <w:sz w:val="20"/>
                <w:szCs w:val="20"/>
              </w:rPr>
              <w:t xml:space="preserve">/admin/integrity</w:t>
            </w:r>
          </w:p>
        </w:tc>
        <w:tc>
          <w:tcPr>
            <w:tcW w:type="dxa" w:w="6500"/>
            <w:tcMar>
              <w:top w:type="dxa" w:w="80"/>
              <w:left w:type="dxa" w:w="120"/>
              <w:bottom w:type="dxa" w:w="80"/>
              <w:right w:type="dxa" w:w="120"/>
            </w:tcMar>
          </w:tcPr>
          <w:p>
            <w:r>
              <w:rPr>
                <w:b w:val="false"/>
                <w:bCs w:val="false"/>
                <w:color w:val="111111"/>
                <w:sz w:val="20"/>
                <w:szCs w:val="20"/>
              </w:rPr>
              <w:t xml:space="preserve">Fake review integrity flags</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/admin/users</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User management and search</w:t>
            </w:r>
          </w:p>
        </w:tc>
      </w:tr>
      <w:tr>
        <w:tc>
          <w:tcPr>
            <w:tcW w:type="dxa" w:w="3100"/>
            <w:tcMar>
              <w:top w:type="dxa" w:w="80"/>
              <w:left w:type="dxa" w:w="120"/>
              <w:bottom w:type="dxa" w:w="80"/>
              <w:right w:type="dxa" w:w="120"/>
            </w:tcMar>
          </w:tcPr>
          <w:p>
            <w:r>
              <w:rPr>
                <w:b w:val="false"/>
                <w:bCs w:val="false"/>
                <w:color w:val="111111"/>
                <w:sz w:val="20"/>
                <w:szCs w:val="20"/>
              </w:rPr>
              <w:t xml:space="preserve">/admin/search-audit</w:t>
            </w:r>
          </w:p>
        </w:tc>
        <w:tc>
          <w:tcPr>
            <w:tcW w:type="dxa" w:w="6500"/>
            <w:tcMar>
              <w:top w:type="dxa" w:w="80"/>
              <w:left w:type="dxa" w:w="120"/>
              <w:bottom w:type="dxa" w:w="80"/>
              <w:right w:type="dxa" w:w="120"/>
            </w:tcMar>
          </w:tcPr>
          <w:p>
            <w:r>
              <w:rPr>
                <w:b w:val="false"/>
                <w:bCs w:val="false"/>
                <w:color w:val="111111"/>
                <w:sz w:val="20"/>
                <w:szCs w:val="20"/>
              </w:rPr>
              <w:t xml:space="preserve">Client lookup audit log</w:t>
            </w:r>
          </w:p>
        </w:tc>
      </w:tr>
      <w:tr>
        <w:tc>
          <w:tcPr>
            <w:tcW w:type="dxa" w:w="3100"/>
            <w:shd w:fill="F8FAFC" w:val="clear"/>
            <w:tcMar>
              <w:top w:type="dxa" w:w="80"/>
              <w:left w:type="dxa" w:w="120"/>
              <w:bottom w:type="dxa" w:w="80"/>
              <w:right w:type="dxa" w:w="120"/>
            </w:tcMar>
          </w:tcPr>
          <w:p>
            <w:r>
              <w:rPr>
                <w:b w:val="false"/>
                <w:bCs w:val="false"/>
                <w:color w:val="111111"/>
                <w:sz w:val="20"/>
                <w:szCs w:val="20"/>
              </w:rPr>
              <w:t xml:space="preserve">/admin/pending-invites</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Client-initiated invite queue — sent, expired, claimed, disputed</w:t>
            </w:r>
          </w:p>
        </w:tc>
      </w:tr>
      <w:tr>
        <w:tc>
          <w:tcPr>
            <w:tcW w:type="dxa" w:w="3100"/>
            <w:tcMar>
              <w:top w:type="dxa" w:w="80"/>
              <w:left w:type="dxa" w:w="120"/>
              <w:bottom w:type="dxa" w:w="80"/>
              <w:right w:type="dxa" w:w="120"/>
            </w:tcMar>
          </w:tcPr>
          <w:p>
            <w:r>
              <w:rPr>
                <w:b w:val="false"/>
                <w:bCs w:val="false"/>
                <w:color w:val="111111"/>
                <w:sz w:val="20"/>
                <w:szCs w:val="20"/>
              </w:rPr>
              <w:t xml:space="preserve">/admin/seeded-profiles</w:t>
            </w:r>
          </w:p>
        </w:tc>
        <w:tc>
          <w:tcPr>
            <w:tcW w:type="dxa" w:w="6500"/>
            <w:tcMar>
              <w:top w:type="dxa" w:w="80"/>
              <w:left w:type="dxa" w:w="120"/>
              <w:bottom w:type="dxa" w:w="80"/>
              <w:right w:type="dxa" w:w="120"/>
            </w:tcMar>
          </w:tcPr>
          <w:p>
            <w:r>
              <w:rPr>
                <w:b w:val="false"/>
                <w:bCs w:val="false"/>
                <w:color w:val="111111"/>
                <w:sz w:val="20"/>
                <w:szCs w:val="20"/>
              </w:rPr>
              <w:t xml:space="preserve">Add and manage Admin-Seeded Trade Profiles — seed new listings, view claim status, reminder cadence, do-not-reseed list (NEW)</w:t>
            </w:r>
          </w:p>
        </w:tc>
      </w:tr>
    </w:tbl>
    <w:p>
      <w:pPr>
        <w:pStyle w:val="Heading1"/>
        <w:spacing w:after="160" w:before="360"/>
      </w:pPr>
      <w:r>
        <w:t xml:space="preserve">7. Trust and Safety</w:t>
      </w:r>
    </w:p>
    <w:p>
      <w:pPr>
        <w:pStyle w:val="Heading2"/>
        <w:spacing w:after="120" w:before="260"/>
      </w:pPr>
      <w:r>
        <w:t xml:space="preserve">7.1 Identity Verification</w:t>
      </w:r>
    </w:p>
    <w:p>
      <w:pPr>
        <w:pStyle w:val="ListParagraph"/>
        <w:numPr>
          <w:ilvl w:val="0"/>
          <w:numId w:val="2"/>
        </w:numPr>
        <w:spacing w:after="80"/>
      </w:pPr>
      <w:r>
        <w:t xml:space="preserve">Phone verification required for all users via Twilio Verify SMS OTP</w:t>
      </w:r>
    </w:p>
    <w:p>
      <w:pPr>
        <w:pStyle w:val="ListParagraph"/>
        <w:numPr>
          <w:ilvl w:val="0"/>
          <w:numId w:val="2"/>
        </w:numPr>
        <w:spacing w:after="80"/>
      </w:pPr>
      <w:r>
        <w:t xml:space="preserve">Optional driving licence upload for Verified badge (fully_verified tier)</w:t>
      </w:r>
    </w:p>
    <w:p>
      <w:pPr>
        <w:pStyle w:val="ListParagraph"/>
        <w:numPr>
          <w:ilvl w:val="0"/>
          <w:numId w:val="2"/>
        </w:numPr>
        <w:spacing w:after="80"/>
      </w:pPr>
      <w:r>
        <w:t xml:space="preserve">Licence image deleted after admin review — only a one-way hash retained</w:t>
      </w:r>
    </w:p>
    <w:p>
      <w:pPr>
        <w:pStyle w:val="ListParagraph"/>
        <w:numPr>
          <w:ilvl w:val="0"/>
          <w:numId w:val="2"/>
        </w:numPr>
        <w:spacing w:after="80"/>
      </w:pPr>
      <w:r>
        <w:t xml:space="preserve">Business clients verified via Companies House API</w:t>
      </w:r>
    </w:p>
    <w:p>
      <w:pPr>
        <w:pStyle w:val="ListParagraph"/>
        <w:numPr>
          <w:ilvl w:val="0"/>
          <w:numId w:val="2"/>
        </w:numPr>
        <w:spacing w:after="80"/>
      </w:pPr>
      <w:r>
        <w:t xml:space="preserve">Deactivated identity hashes retained permanently to prevent re-registration after bans</w:t>
      </w:r>
    </w:p>
    <w:p>
      <w:pPr>
        <w:pStyle w:val="Heading2"/>
        <w:spacing w:after="120" w:before="260"/>
      </w:pPr>
      <w:r>
        <w:t xml:space="preserve">7.2 Fake Review Detection</w:t>
      </w:r>
    </w:p>
    <w:p>
      <w:pPr>
        <w:spacing w:after="160"/>
      </w:pPr>
      <w:r>
        <w:t xml:space="preserve">Automated integrity checks run on every job confirmation:</w:t>
      </w:r>
    </w:p>
    <w:p>
      <w:pPr>
        <w:pStyle w:val="ListParagraph"/>
        <w:numPr>
          <w:ilvl w:val="0"/>
          <w:numId w:val="2"/>
        </w:numPr>
        <w:spacing w:after="80"/>
      </w:pPr>
      <w:r>
        <w:t xml:space="preserve">Same IP both parties — flags if tradesperson and client logged in from same IP</w:t>
      </w:r>
    </w:p>
    <w:p>
      <w:pPr>
        <w:pStyle w:val="ListParagraph"/>
        <w:numPr>
          <w:ilvl w:val="0"/>
          <w:numId w:val="2"/>
        </w:numPr>
        <w:spacing w:after="80"/>
      </w:pPr>
      <w:r>
        <w:t xml:space="preserve">Same device both parties — flags on matching user agent strings</w:t>
      </w:r>
    </w:p>
    <w:p>
      <w:pPr>
        <w:pStyle w:val="ListParagraph"/>
        <w:numPr>
          <w:ilvl w:val="0"/>
          <w:numId w:val="2"/>
        </w:numPr>
        <w:spacing w:after="80"/>
      </w:pPr>
      <w:r>
        <w:t xml:space="preserve">New accounts — flags if both accounts created within 7 days of each other</w:t>
      </w:r>
    </w:p>
    <w:p>
      <w:pPr>
        <w:pStyle w:val="ListParagraph"/>
        <w:numPr>
          <w:ilvl w:val="0"/>
          <w:numId w:val="2"/>
        </w:numPr>
        <w:spacing w:after="80"/>
      </w:pPr>
      <w:r>
        <w:t xml:space="preserve">Postcode district anomaly — flags if the job's postcode district is not within either party's declared areas (Operating Areas for the trade, registered postcode for the client)</w:t>
      </w:r>
    </w:p>
    <w:p>
      <w:pPr>
        <w:pStyle w:val="ListParagraph"/>
        <w:numPr>
          <w:ilvl w:val="0"/>
          <w:numId w:val="2"/>
        </w:numPr>
        <w:spacing w:after="80"/>
      </w:pPr>
      <w:r>
        <w:t xml:space="preserve">Velocity spike — flags if a tradesperson receives more than 5 reviews in 7 days</w:t>
      </w:r>
    </w:p>
    <w:p>
      <w:pPr>
        <w:spacing w:after="160"/>
      </w:pPr>
      <w:r>
        <w:t xml:space="preserve">All flags appear in the admin integrity queue for human review. Flagged accounts are not automatically banned — flags trigger investigation, not automatic action.</w:t>
      </w:r>
    </w:p>
    <w:p>
      <w:pPr>
        <w:pStyle w:val="Heading2"/>
        <w:spacing w:after="120" w:before="260"/>
      </w:pPr>
      <w:r>
        <w:t xml:space="preserve">7.3 Dispute Resolution</w:t>
      </w:r>
    </w:p>
    <w:p>
      <w:pPr>
        <w:pStyle w:val="ListParagraph"/>
        <w:numPr>
          <w:ilvl w:val="0"/>
          <w:numId w:val="2"/>
        </w:numPr>
        <w:spacing w:after="80"/>
      </w:pPr>
      <w:r>
        <w:t xml:space="preserve">Either party can dispute a review within 14 days of publication</w:t>
      </w:r>
    </w:p>
    <w:p>
      <w:pPr>
        <w:pStyle w:val="ListParagraph"/>
        <w:numPr>
          <w:ilvl w:val="0"/>
          <w:numId w:val="2"/>
        </w:numPr>
        <w:spacing w:after="80"/>
      </w:pPr>
      <w:r>
        <w:t xml:space="preserve">Dispute raises a 7-day evidence window — respondent can submit their account</w:t>
      </w:r>
    </w:p>
    <w:p>
      <w:pPr>
        <w:pStyle w:val="ListParagraph"/>
        <w:numPr>
          <w:ilvl w:val="0"/>
          <w:numId w:val="2"/>
        </w:numPr>
        <w:spacing w:after="80"/>
      </w:pPr>
      <w:r>
        <w:t xml:space="preserve">Admin reviews both sides and makes a decision within 21 days of the dispute being raised</w:t>
      </w:r>
    </w:p>
    <w:p>
      <w:pPr>
        <w:pStyle w:val="ListParagraph"/>
        <w:numPr>
          <w:ilvl w:val="0"/>
          <w:numId w:val="2"/>
        </w:numPr>
        <w:spacing w:after="80"/>
      </w:pPr>
      <w:r>
        <w:t xml:space="preserve">Possible outcomes: keep review, remove review, amend written portion</w:t>
      </w:r>
    </w:p>
    <w:p>
      <w:pPr>
        <w:pStyle w:val="ListParagraph"/>
        <w:numPr>
          <w:ilvl w:val="0"/>
          <w:numId w:val="2"/>
        </w:numPr>
        <w:spacing w:after="80"/>
      </w:pPr>
      <w:r>
        <w:t xml:space="preserve">Review labelled “Under dispute” during the process — remains visible</w:t>
      </w:r>
    </w:p>
    <w:p>
      <w:pPr>
        <w:pStyle w:val="ListParagraph"/>
        <w:numPr>
          <w:ilvl w:val="0"/>
          <w:numId w:val="2"/>
        </w:numPr>
        <w:spacing w:after="80"/>
      </w:pPr>
      <w:r>
        <w:t xml:space="preserve">Pro subscribers disputes appear at the top of the admin queue</w:t>
      </w:r>
    </w:p>
    <w:p>
      <w:pPr>
        <w:pStyle w:val="Heading2"/>
        <w:spacing w:after="120" w:before="260"/>
      </w:pPr>
      <w:r>
        <w:t xml:space="preserve">7.4 Image Moderation</w:t>
      </w:r>
    </w:p>
    <w:p>
      <w:pPr>
        <w:spacing w:after="160"/>
      </w:pPr>
      <w:r>
        <w:t xml:space="preserve">All featured job images are automatically scanned by AWS Rekognition on upload (minimum confidence threshold: 75%). Images flagged as inappropriate are quarantined pending admin review. Clean images are approved automatically. A user-facing report button is available on all public profile pages.</w:t>
      </w:r>
    </w:p>
    <w:p>
      <w:pPr>
        <w:pStyle w:val="Heading2"/>
        <w:spacing w:after="120" w:before="260"/>
      </w:pPr>
      <w:r>
        <w:t xml:space="preserve">7.5 Pending Invite Data Handling</w:t>
      </w:r>
    </w:p>
    <w:p>
      <w:pPr>
        <w:spacing w:after="160"/>
      </w:pPr>
      <w:r>
        <w:t xml:space="preserve">The client-initiated job invite flow (4.7) involves holding a third party's contact details — phone number and/or email — before that person has consented to being on the platform. The following rules apply:</w:t>
      </w:r>
    </w:p>
    <w:p>
      <w:pPr>
        <w:pStyle w:val="ListParagraph"/>
        <w:numPr>
          <w:ilvl w:val="0"/>
          <w:numId w:val="2"/>
        </w:numPr>
        <w:spacing w:after="80"/>
      </w:pPr>
      <w:r>
        <w:t xml:space="preserve">Contact details submitted with a pending invite are used only to deliver the claim invite — never for marketing, never shared with other users, never surfaced in search</w:t>
      </w:r>
    </w:p>
    <w:p>
      <w:pPr>
        <w:pStyle w:val="ListParagraph"/>
        <w:numPr>
          <w:ilvl w:val="0"/>
          <w:numId w:val="2"/>
        </w:numPr>
        <w:spacing w:after="80"/>
      </w:pPr>
      <w:r>
        <w:t xml:space="preserve">Unclaimed invites expire automatically after 60 days, at which point the invite record and any associated contact data are hard-deleted, not soft-deleted</w:t>
      </w:r>
    </w:p>
    <w:p>
      <w:pPr>
        <w:pStyle w:val="ListParagraph"/>
        <w:numPr>
          <w:ilvl w:val="0"/>
          <w:numId w:val="2"/>
        </w:numPr>
        <w:spacing w:after="80"/>
      </w:pPr>
      <w:r>
        <w:t xml:space="preserve">No profile, review, or public page is created from an unclaimed invite at any point</w:t>
      </w:r>
    </w:p>
    <w:p>
      <w:pPr>
        <w:pStyle w:val="ListParagraph"/>
        <w:numPr>
          <w:ilvl w:val="0"/>
          <w:numId w:val="2"/>
        </w:numPr>
        <w:spacing w:after="80"/>
      </w:pPr>
      <w:r>
        <w:t xml:space="preserve">A tradesperson who receives an invite can decline or ignore it with no consequence — no account is created without their explicit action to claim</w:t>
      </w:r>
    </w:p>
    <w:p>
      <w:pPr>
        <w:pStyle w:val="ListParagraph"/>
        <w:numPr>
          <w:ilvl w:val="0"/>
          <w:numId w:val="2"/>
        </w:numPr>
        <w:spacing w:after="80"/>
      </w:pPr>
      <w:r>
        <w:t xml:space="preserve">This flow does not require a separate GDPR lawful basis review beyond the platform's existing job-invite handling, since it mirrors the existing backdated job invite mechanism in scope and retention — confirm with the platform's standard privacy documentation before launch</w:t>
      </w:r>
    </w:p>
    <w:p>
      <w:pPr>
        <w:pStyle w:val="Heading3"/>
        <w:spacing w:after="100" w:before="200"/>
      </w:pPr>
      <w:r>
        <w:rPr>
          <w:b/>
          <w:bCs/>
          <w:color w:val="1F2937"/>
          <w:sz w:val="22"/>
          <w:szCs w:val="22"/>
        </w:rPr>
        <w:t xml:space="preserve">7.6 Seeded Profile Data Handling</w:t>
      </w:r>
      <w:r>
        <w:rPr>
          <w:b/>
          <w:bCs/>
          <w:color w:val="2563EB"/>
          <w:sz w:val="18"/>
          <w:szCs w:val="18"/>
        </w:rPr>
        <w:t xml:space="preserve">  NEW</w:t>
      </w:r>
    </w:p>
    <w:p>
      <w:pPr>
        <w:spacing w:after="160"/>
      </w:pPr>
      <w:r>
        <w:t xml:space="preserve">Admin-Seeded Trade Profiles (2.7, 4.9) differ from the pending invite flow above in one important respect: a public page is created immediately on seeding, before any consent from the business, and it stays live — rather than being invisible until claimed. The following rules apply:</w:t>
      </w:r>
    </w:p>
    <w:p>
      <w:pPr>
        <w:pStyle w:val="ListParagraph"/>
        <w:numPr>
          <w:ilvl w:val="0"/>
          <w:numId w:val="2"/>
        </w:numPr>
        <w:spacing w:after="80"/>
      </w:pPr>
      <w:r>
        <w:t xml:space="preserve">Contact details held against a seeded profile are used only to send the claim invite and its reminder cadence (4.9) — never for marketing unrelated to the claim, never shared with other users or third parties, never surfaced anywhere on the platform</w:t>
      </w:r>
    </w:p>
    <w:p>
      <w:pPr>
        <w:pStyle w:val="ListParagraph"/>
        <w:numPr>
          <w:ilvl w:val="0"/>
          <w:numId w:val="2"/>
        </w:numPr>
        <w:spacing w:after="80"/>
      </w:pPr>
      <w:r>
        <w:t xml:space="preserve">Unclaimed seeded profiles expire automatically after 60 days from creation, aligned with the retention window already used for pending invites (7.5). On expiry, the listing and any contact data held are hard-deleted, not soft-deleted</w:t>
      </w:r>
    </w:p>
    <w:p>
      <w:pPr>
        <w:pStyle w:val="ListParagraph"/>
        <w:numPr>
          <w:ilvl w:val="0"/>
          <w:numId w:val="2"/>
        </w:numPr>
        <w:spacing w:after="80"/>
      </w:pPr>
      <w:r>
        <w:t xml:space="preserve">Any business can remove its own seeded listing at any time via the one-click, no-login-required link included in every reminder email (4.9), or by contacting WorkedWith directly. Removal is immediate and permanent</w:t>
      </w:r>
    </w:p>
    <w:p>
      <w:pPr>
        <w:pStyle w:val="ListParagraph"/>
        <w:numPr>
          <w:ilvl w:val="0"/>
          <w:numId w:val="2"/>
        </w:numPr>
        <w:spacing w:after="80"/>
      </w:pPr>
      <w:r>
        <w:t xml:space="preserve">A removed or expired seeded listing's identifying details (business name, contact method used) are retained in a minimal do-not-reseed list, kept separately from the deleted profile data, so the same business is not inadvertently seeded again by a future admin action. This list holds only what is needed to prevent re-seeding — not the full original listing</w:t>
      </w:r>
    </w:p>
    <w:p>
      <w:pPr>
        <w:spacing w:after="160"/>
      </w:pPr>
      <w:r>
        <w:rPr>
          <w:b/>
          <w:bCs/>
        </w:rPr>
        <w:t xml:space="preserve">Flag for legal review: </w:t>
      </w:r>
      <w:r>
        <w:t xml:space="preserve">unlike the pending invite flow, a seeded profile publishes a page and may send unsolicited contact before the business has taken any action. Many trades on WorkedWith are sole traders, whose business phone or email is also personal data under UK GDPR — this is a materially different position from a client-initiated invite, where the client asserts a real prior relationship. Confirm the lawful basis for (a) publishing a factual business listing sourced from public information, and (b) sending unsolicited outreach to it, against current UK GDPR and PECR guidance before this module goes live — do not treat the 7.5 precedent as sufficient cover for this flow without that check.</w:t>
      </w:r>
    </w:p>
    <w:p>
      <w:pPr>
        <w:pStyle w:val="Heading1"/>
        <w:spacing w:after="160" w:before="360"/>
      </w:pPr>
      <w:r>
        <w:t xml:space="preserve">8. Key Product Principles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937" w:val="clear"/>
            <w:tcMar>
              <w:top w:type="dxa" w:w="80"/>
              <w:left w:type="dxa" w:w="120"/>
              <w:bottom w:type="dxa" w:w="80"/>
              <w:right w:type="dxa" w:w="120"/>
            </w:tcMar>
          </w:tcPr>
          <w:p>
            <w:r>
              <w:rPr>
                <w:b/>
                <w:bCs/>
                <w:color w:val="FFFFFF"/>
                <w:sz w:val="20"/>
                <w:szCs w:val="20"/>
              </w:rPr>
              <w:t xml:space="preserve">Principle</w:t>
            </w:r>
          </w:p>
        </w:tc>
        <w:tc>
          <w:tcPr>
            <w:tcW w:type="dxa" w:w="6600"/>
            <w:shd w:fill="1F2937" w:val="clear"/>
            <w:tcMar>
              <w:top w:type="dxa" w:w="80"/>
              <w:left w:type="dxa" w:w="120"/>
              <w:bottom w:type="dxa" w:w="80"/>
              <w:right w:type="dxa" w:w="120"/>
            </w:tcMar>
          </w:tcPr>
          <w:p>
            <w:r>
              <w:rPr>
                <w:b/>
                <w:bCs/>
                <w:color w:val="FFFFFF"/>
                <w:sz w:val="20"/>
                <w:szCs w:val="20"/>
              </w:rPr>
              <w:t xml:space="preserve">Rationale</w:t>
            </w:r>
          </w:p>
        </w:tc>
      </w:tr>
      <w:tr>
        <w:tc>
          <w:tcPr>
            <w:tcW w:type="dxa" w:w="3000"/>
            <w:tcMar>
              <w:top w:type="dxa" w:w="80"/>
              <w:left w:type="dxa" w:w="120"/>
              <w:bottom w:type="dxa" w:w="80"/>
              <w:right w:type="dxa" w:w="120"/>
            </w:tcMar>
          </w:tcPr>
          <w:p>
            <w:r>
              <w:rPr>
                <w:b w:val="false"/>
                <w:bCs w:val="false"/>
                <w:color w:val="111111"/>
                <w:sz w:val="20"/>
                <w:szCs w:val="20"/>
              </w:rPr>
              <w:t xml:space="preserve">Free tier is not a trial</w:t>
            </w:r>
          </w:p>
        </w:tc>
        <w:tc>
          <w:tcPr>
            <w:tcW w:type="dxa" w:w="6600"/>
            <w:tcMar>
              <w:top w:type="dxa" w:w="80"/>
              <w:left w:type="dxa" w:w="120"/>
              <w:bottom w:type="dxa" w:w="80"/>
              <w:right w:type="dxa" w:w="120"/>
            </w:tcMar>
          </w:tcPr>
          <w:p>
            <w:r>
              <w:rPr>
                <w:b w:val="false"/>
                <w:bCs w:val="false"/>
                <w:color w:val="111111"/>
                <w:sz w:val="20"/>
                <w:szCs w:val="20"/>
              </w:rPr>
              <w:t xml:space="preserve">The Free tier is a permanent, fully functional product. Every feature required to build a credible verified profile is available without payment. Gating core functionality from free users would undermine the network effect.</w:t>
            </w:r>
          </w:p>
        </w:tc>
      </w:tr>
      <w:tr>
        <w:tc>
          <w:tcPr>
            <w:tcW w:type="dxa" w:w="3000"/>
            <w:shd w:fill="F8FAFC" w:val="clear"/>
            <w:tcMar>
              <w:top w:type="dxa" w:w="80"/>
              <w:left w:type="dxa" w:w="120"/>
              <w:bottom w:type="dxa" w:w="80"/>
              <w:right w:type="dxa" w:w="120"/>
            </w:tcMar>
          </w:tcPr>
          <w:p>
            <w:r>
              <w:rPr>
                <w:b w:val="false"/>
                <w:bCs w:val="false"/>
                <w:color w:val="111111"/>
                <w:sz w:val="20"/>
                <w:szCs w:val="20"/>
              </w:rPr>
              <w:t xml:space="preserve">Participation is the first filter</w:t>
            </w:r>
          </w:p>
        </w:tc>
        <w:tc>
          <w:tcPr>
            <w:tcW w:type="dxa" w:w="6600"/>
            <w:shd w:fill="F8FAFC" w:val="clear"/>
            <w:tcMar>
              <w:top w:type="dxa" w:w="80"/>
              <w:left w:type="dxa" w:w="120"/>
              <w:bottom w:type="dxa" w:w="80"/>
              <w:right w:type="dxa" w:w="120"/>
            </w:tcMar>
          </w:tcPr>
          <w:p>
            <w:r>
              <w:rPr>
                <w:b w:val="false"/>
                <w:bCs w:val="false"/>
                <w:color w:val="111111"/>
                <w:sz w:val="20"/>
                <w:szCs w:val="20"/>
              </w:rPr>
              <w:t xml:space="preserve">The platform does not claim to catch every bad actor before a job happens — it claims that only tradespeople invested in protecting their reputation choose to join a system built on permanent, mutual, verifiable review. Non-participation is itself informative to a prospective client. Admin-seeded listings (2.7) are the deliberate exception to “participation,” and are kept from ever being mistaken for it by a permanent, unmissable unclaimed label (9).</w:t>
            </w:r>
          </w:p>
        </w:tc>
      </w:tr>
      <w:tr>
        <w:tc>
          <w:tcPr>
            <w:tcW w:type="dxa" w:w="3000"/>
            <w:tcMar>
              <w:top w:type="dxa" w:w="80"/>
              <w:left w:type="dxa" w:w="120"/>
              <w:bottom w:type="dxa" w:w="80"/>
              <w:right w:type="dxa" w:w="120"/>
            </w:tcMar>
          </w:tcPr>
          <w:p>
            <w:r>
              <w:rPr>
                <w:b w:val="false"/>
                <w:bCs w:val="false"/>
                <w:color w:val="111111"/>
                <w:sz w:val="20"/>
                <w:szCs w:val="20"/>
              </w:rPr>
              <w:t xml:space="preserve">Subscriptions gate features and position, not volume or basic reach</w:t>
            </w:r>
          </w:p>
        </w:tc>
        <w:tc>
          <w:tcPr>
            <w:tcW w:type="dxa" w:w="6600"/>
            <w:tcMar>
              <w:top w:type="dxa" w:w="80"/>
              <w:left w:type="dxa" w:w="120"/>
              <w:bottom w:type="dxa" w:w="80"/>
              <w:right w:type="dxa" w:w="120"/>
            </w:tcMar>
          </w:tcPr>
          <w:p>
            <w:r>
              <w:rPr>
                <w:b w:val="false"/>
                <w:bCs w:val="false"/>
                <w:color w:val="111111"/>
                <w:sz w:val="20"/>
                <w:szCs w:val="20"/>
              </w:rPr>
              <w:t xml:space="preserve">There are no caps on jobs or reviews at any tier, and Operating Areas (up to 20 districts) are available to every tier equally. Paid tiers unlock better client intelligence and prioritised visibility, not more usage or basic discoverability.</w:t>
            </w:r>
          </w:p>
        </w:tc>
      </w:tr>
      <w:tr>
        <w:tc>
          <w:tcPr>
            <w:tcW w:type="dxa" w:w="3000"/>
            <w:shd w:fill="F8FAFC" w:val="clear"/>
            <w:tcMar>
              <w:top w:type="dxa" w:w="80"/>
              <w:left w:type="dxa" w:w="120"/>
              <w:bottom w:type="dxa" w:w="80"/>
              <w:right w:type="dxa" w:w="120"/>
            </w:tcMar>
          </w:tcPr>
          <w:p>
            <w:r>
              <w:rPr>
                <w:b w:val="false"/>
                <w:bCs w:val="false"/>
                <w:color w:val="111111"/>
                <w:sz w:val="20"/>
                <w:szCs w:val="20"/>
              </w:rPr>
              <w:t xml:space="preserve">Boosted position is scarce and chosen, not blanket</w:t>
            </w:r>
          </w:p>
        </w:tc>
        <w:tc>
          <w:tcPr>
            <w:tcW w:type="dxa" w:w="6600"/>
            <w:shd w:fill="F8FAFC" w:val="clear"/>
            <w:tcMar>
              <w:top w:type="dxa" w:w="80"/>
              <w:left w:type="dxa" w:w="120"/>
              <w:bottom w:type="dxa" w:w="80"/>
              <w:right w:type="dxa" w:w="120"/>
            </w:tcMar>
          </w:tcPr>
          <w:p>
            <w:r>
              <w:rPr>
                <w:b w:val="false"/>
                <w:bCs w:val="false"/>
                <w:color w:val="111111"/>
                <w:sz w:val="20"/>
                <w:szCs w:val="20"/>
              </w:rPr>
              <w:t xml:space="preserve">Pro includes 3 Boosted Districts, selected from Operating Areas and changeable at most every 30 days. Further districts are available individually at £10/month, so expanded reach is a deliberate, priced choice rather than a default — this keeps the paid ranking advantage tied to genuine, stated local commitment rather than letting a flat subscription buy dominance across an unlimited area.</w:t>
            </w:r>
          </w:p>
        </w:tc>
      </w:tr>
      <w:tr>
        <w:tc>
          <w:tcPr>
            <w:tcW w:type="dxa" w:w="3000"/>
            <w:tcMar>
              <w:top w:type="dxa" w:w="80"/>
              <w:left w:type="dxa" w:w="120"/>
              <w:bottom w:type="dxa" w:w="80"/>
              <w:right w:type="dxa" w:w="120"/>
            </w:tcMar>
          </w:tcPr>
          <w:p>
            <w:r>
              <w:rPr>
                <w:b w:val="false"/>
                <w:bCs w:val="false"/>
                <w:color w:val="111111"/>
                <w:sz w:val="20"/>
                <w:szCs w:val="20"/>
              </w:rPr>
              <w:t xml:space="preserve">Seeded density fades as real density arrives</w:t>
            </w:r>
          </w:p>
        </w:tc>
        <w:tc>
          <w:tcPr>
            <w:tcW w:type="dxa" w:w="6600"/>
            <w:tcMar>
              <w:top w:type="dxa" w:w="80"/>
              <w:left w:type="dxa" w:w="120"/>
              <w:bottom w:type="dxa" w:w="80"/>
              <w:right w:type="dxa" w:w="120"/>
            </w:tcMar>
          </w:tcPr>
          <w:p>
            <w:r>
              <w:rPr>
                <w:b w:val="false"/>
                <w:bCs w:val="false"/>
                <w:color w:val="111111"/>
                <w:sz w:val="20"/>
                <w:szCs w:val="20"/>
              </w:rPr>
              <w:t xml:space="preserve">Admin-seeded and demo listings exist to solve cold-start, not to pad the directory permanently. Their visibility in search is conditional on real, claimed participation in that district and trade category (9) — once genuine density is reached, seeded content stops appearing in search on its own, with no manual pruning required.</w:t>
            </w:r>
          </w:p>
        </w:tc>
      </w:tr>
      <w:tr>
        <w:tc>
          <w:tcPr>
            <w:tcW w:type="dxa" w:w="3000"/>
            <w:shd w:fill="F8FAFC" w:val="clear"/>
            <w:tcMar>
              <w:top w:type="dxa" w:w="80"/>
              <w:left w:type="dxa" w:w="120"/>
              <w:bottom w:type="dxa" w:w="80"/>
              <w:right w:type="dxa" w:w="120"/>
            </w:tcMar>
          </w:tcPr>
          <w:p>
            <w:r>
              <w:rPr>
                <w:b w:val="false"/>
                <w:bCs w:val="false"/>
                <w:color w:val="111111"/>
                <w:sz w:val="20"/>
                <w:szCs w:val="20"/>
              </w:rPr>
              <w:t xml:space="preserve">Client profiles are not publicly searchable</w:t>
            </w:r>
          </w:p>
        </w:tc>
        <w:tc>
          <w:tcPr>
            <w:tcW w:type="dxa" w:w="6600"/>
            <w:shd w:fill="F8FAFC" w:val="clear"/>
            <w:tcMar>
              <w:top w:type="dxa" w:w="80"/>
              <w:left w:type="dxa" w:w="120"/>
              <w:bottom w:type="dxa" w:w="80"/>
              <w:right w:type="dxa" w:w="120"/>
            </w:tcMar>
          </w:tcPr>
          <w:p>
            <w:r>
              <w:rPr>
                <w:b w:val="false"/>
                <w:bCs w:val="false"/>
                <w:color w:val="111111"/>
                <w:sz w:val="20"/>
                <w:szCs w:val="20"/>
              </w:rPr>
              <w:t xml:space="preserve">Clients are looked up by tradespeople using a WorkedWith username — not browseable by the public. This protects client privacy and prevents the platform being used as a general-purpose people search.</w:t>
            </w:r>
          </w:p>
        </w:tc>
      </w:tr>
      <w:tr>
        <w:tc>
          <w:tcPr>
            <w:tcW w:type="dxa" w:w="3000"/>
            <w:tcMar>
              <w:top w:type="dxa" w:w="80"/>
              <w:left w:type="dxa" w:w="120"/>
              <w:bottom w:type="dxa" w:w="80"/>
              <w:right w:type="dxa" w:w="120"/>
            </w:tcMar>
          </w:tcPr>
          <w:p>
            <w:r>
              <w:rPr>
                <w:b w:val="false"/>
                <w:bCs w:val="false"/>
                <w:color w:val="111111"/>
                <w:sz w:val="20"/>
                <w:szCs w:val="20"/>
              </w:rPr>
              <w:t xml:space="preserve">WorkedWith does not manage jobs</w:t>
            </w:r>
          </w:p>
        </w:tc>
        <w:tc>
          <w:tcPr>
            <w:tcW w:type="dxa" w:w="6600"/>
            <w:tcMar>
              <w:top w:type="dxa" w:w="80"/>
              <w:left w:type="dxa" w:w="120"/>
              <w:bottom w:type="dxa" w:w="80"/>
              <w:right w:type="dxa" w:w="120"/>
            </w:tcMar>
          </w:tcPr>
          <w:p>
            <w:r>
              <w:rPr>
                <w:b w:val="false"/>
                <w:bCs w:val="false"/>
                <w:color w:val="111111"/>
                <w:sz w:val="20"/>
                <w:szCs w:val="20"/>
              </w:rPr>
              <w:t xml:space="preserve">Job booking, scheduling, quoting, invoicing, and payment between parties all happen outside the platform. WorkedWith records that a job happened — it does not facilitate or manage it.</w:t>
            </w:r>
          </w:p>
        </w:tc>
      </w:tr>
      <w:tr>
        <w:tc>
          <w:tcPr>
            <w:tcW w:type="dxa" w:w="3000"/>
            <w:shd w:fill="F8FAFC" w:val="clear"/>
            <w:tcMar>
              <w:top w:type="dxa" w:w="80"/>
              <w:left w:type="dxa" w:w="120"/>
              <w:bottom w:type="dxa" w:w="80"/>
              <w:right w:type="dxa" w:w="120"/>
            </w:tcMar>
          </w:tcPr>
          <w:p>
            <w:r>
              <w:rPr>
                <w:b w:val="false"/>
                <w:bCs w:val="false"/>
                <w:color w:val="111111"/>
                <w:sz w:val="20"/>
                <w:szCs w:val="20"/>
              </w:rPr>
              <w:t xml:space="preserve">No content is published without two-sided verification</w:t>
            </w:r>
          </w:p>
        </w:tc>
        <w:tc>
          <w:tcPr>
            <w:tcW w:type="dxa" w:w="6600"/>
            <w:shd w:fill="F8FAFC" w:val="clear"/>
            <w:tcMar>
              <w:top w:type="dxa" w:w="80"/>
              <w:left w:type="dxa" w:w="120"/>
              <w:bottom w:type="dxa" w:w="80"/>
              <w:right w:type="dxa" w:w="120"/>
            </w:tcMar>
          </w:tcPr>
          <w:p>
            <w:r>
              <w:rPr>
                <w:b w:val="false"/>
                <w:bCs w:val="false"/>
                <w:color w:val="111111"/>
                <w:sz w:val="20"/>
                <w:szCs w:val="20"/>
              </w:rPr>
              <w:t xml:space="preserve">This applies to reviews and to client-initiated trade invites. A client asserting a job happened is never enough on its own to publish anything — the other party must verify and confirm first. Admin-seeded profiles are a narrow, clearly-labelled exception for factual, publicly-sourced business details only — never reviews, ratings, or job history, which still require two-sided verification exactly as before.</w:t>
            </w:r>
          </w:p>
        </w:tc>
      </w:tr>
      <w:tr>
        <w:tc>
          <w:tcPr>
            <w:tcW w:type="dxa" w:w="3000"/>
            <w:tcMar>
              <w:top w:type="dxa" w:w="80"/>
              <w:left w:type="dxa" w:w="120"/>
              <w:bottom w:type="dxa" w:w="80"/>
              <w:right w:type="dxa" w:w="120"/>
            </w:tcMar>
          </w:tcPr>
          <w:p>
            <w:r>
              <w:rPr>
                <w:b w:val="false"/>
                <w:bCs w:val="false"/>
                <w:color w:val="111111"/>
                <w:sz w:val="20"/>
                <w:szCs w:val="20"/>
              </w:rPr>
              <w:t xml:space="preserve">Local density before national scale</w:t>
            </w:r>
          </w:p>
        </w:tc>
        <w:tc>
          <w:tcPr>
            <w:tcW w:type="dxa" w:w="6600"/>
            <w:tcMar>
              <w:top w:type="dxa" w:w="80"/>
              <w:left w:type="dxa" w:w="120"/>
              <w:bottom w:type="dxa" w:w="80"/>
              <w:right w:type="dxa" w:w="120"/>
            </w:tcMar>
          </w:tcPr>
          <w:p>
            <w:r>
              <w:rPr>
                <w:b w:val="false"/>
                <w:bCs w:val="false"/>
                <w:color w:val="111111"/>
                <w:sz w:val="20"/>
                <w:szCs w:val="20"/>
              </w:rPr>
              <w:t xml:space="preserve">Marketing concentrates geographically in Phase 1 to build critical mass before expanding. A platform with 50 vetted tradespeople in one area is more useful than 500 spread nationally with no reviews.</w:t>
            </w:r>
          </w:p>
        </w:tc>
      </w:tr>
      <w:tr>
        <w:tc>
          <w:tcPr>
            <w:tcW w:type="dxa" w:w="3000"/>
            <w:shd w:fill="F8FAFC" w:val="clear"/>
            <w:tcMar>
              <w:top w:type="dxa" w:w="80"/>
              <w:left w:type="dxa" w:w="120"/>
              <w:bottom w:type="dxa" w:w="80"/>
              <w:right w:type="dxa" w:w="120"/>
            </w:tcMar>
          </w:tcPr>
          <w:p>
            <w:r>
              <w:rPr>
                <w:b w:val="false"/>
                <w:bCs w:val="false"/>
                <w:color w:val="111111"/>
                <w:sz w:val="20"/>
                <w:szCs w:val="20"/>
              </w:rPr>
              <w:t xml:space="preserve">7-day auto-publish closes the suppression loophole</w:t>
            </w:r>
          </w:p>
        </w:tc>
        <w:tc>
          <w:tcPr>
            <w:tcW w:type="dxa" w:w="6600"/>
            <w:shd w:fill="F8FAFC" w:val="clear"/>
            <w:tcMar>
              <w:top w:type="dxa" w:w="80"/>
              <w:left w:type="dxa" w:w="120"/>
              <w:bottom w:type="dxa" w:w="80"/>
              <w:right w:type="dxa" w:w="120"/>
            </w:tcMar>
          </w:tcPr>
          <w:p>
            <w:r>
              <w:rPr>
                <w:b w:val="false"/>
                <w:bCs w:val="false"/>
                <w:color w:val="111111"/>
                <w:sz w:val="20"/>
                <w:szCs w:val="20"/>
              </w:rPr>
              <w:t xml:space="preserve">Bad actors cannot suppress unfavourable reviews by simply not submitting their own. After 7 days, the submitted review publishes regardless.</w:t>
            </w:r>
          </w:p>
        </w:tc>
      </w:tr>
      <w:tr>
        <w:tc>
          <w:tcPr>
            <w:tcW w:type="dxa" w:w="3000"/>
            <w:tcMar>
              <w:top w:type="dxa" w:w="80"/>
              <w:left w:type="dxa" w:w="120"/>
              <w:bottom w:type="dxa" w:w="80"/>
              <w:right w:type="dxa" w:w="120"/>
            </w:tcMar>
          </w:tcPr>
          <w:p>
            <w:r>
              <w:rPr>
                <w:b w:val="false"/>
                <w:bCs w:val="false"/>
                <w:color w:val="111111"/>
                <w:sz w:val="20"/>
                <w:szCs w:val="20"/>
              </w:rPr>
              <w:t xml:space="preserve">Trades hardcoded not admin-managed</w:t>
            </w:r>
          </w:p>
        </w:tc>
        <w:tc>
          <w:tcPr>
            <w:tcW w:type="dxa" w:w="6600"/>
            <w:tcMar>
              <w:top w:type="dxa" w:w="80"/>
              <w:left w:type="dxa" w:w="120"/>
              <w:bottom w:type="dxa" w:w="80"/>
              <w:right w:type="dxa" w:w="120"/>
            </w:tcMar>
          </w:tcPr>
          <w:p>
            <w:r>
              <w:rPr>
                <w:b w:val="false"/>
                <w:bCs w:val="false"/>
                <w:color w:val="111111"/>
                <w:sz w:val="20"/>
                <w:szCs w:val="20"/>
              </w:rPr>
              <w:t xml:space="preserve">The trade types list is hardcoded and updated via redeployment. Admin management of trade types would over-engineer a stable list.</w:t>
            </w:r>
          </w:p>
        </w:tc>
      </w:tr>
    </w:tbl>
    <w:p>
      <w:pPr>
        <w:pStyle w:val="Heading1"/>
        <w:spacing w:after="160" w:before="360"/>
      </w:pPr>
      <w:r>
        <w:t xml:space="preserve">9. Demo Content &amp; Directory Density Rules</w:t>
      </w:r>
    </w:p>
    <w:p>
      <w:pPr>
        <w:spacing w:after="160"/>
      </w:pPr>
      <w:r>
        <w:t xml:space="preserve">To address the cold-start problem for districts where too few real, participating tradespeople exist yet, WorkedWith fills search results with lower-priority content according to a strict cascade. This section covers both the fictional Demo Content profiles and the real Admin-Seeded Trade Profiles introduced in v3.4 (2.7, 4.9), since both are governed by the same underlying density rule.</w:t>
      </w:r>
    </w:p>
    <w:p>
      <w:pPr>
        <w:pStyle w:val="Heading2"/>
        <w:spacing w:after="120" w:before="260"/>
      </w:pPr>
      <w:r>
        <w:rPr>
          <w:b/>
          <w:bCs/>
          <w:color w:val="2563EB"/>
          <w:sz w:val="25"/>
          <w:szCs w:val="25"/>
        </w:rPr>
        <w:t xml:space="preserve">9.1 Directory Density Rule</w:t>
      </w:r>
      <w:r>
        <w:rPr>
          <w:b/>
          <w:bCs/>
          <w:color w:val="2563EB"/>
          <w:sz w:val="18"/>
          <w:szCs w:val="18"/>
        </w:rPr>
        <w:t xml:space="preserve">  NEW</w:t>
      </w:r>
    </w:p>
    <w:p>
      <w:pPr>
        <w:spacing w:after="160"/>
      </w:pPr>
      <w:r>
        <w:t xml:space="preserve">For a given search (a trade category within a postcode district), results are assembled in this order:</w:t>
      </w:r>
    </w:p>
    <w:p>
      <w:pPr>
        <w:pStyle w:val="ListParagraph"/>
        <w:numPr>
          <w:ilvl w:val="0"/>
          <w:numId w:val="2"/>
        </w:numPr>
        <w:spacing w:after="80"/>
      </w:pPr>
      <w:r>
        <w:t xml:space="preserve">1. Real, claimed tradespeople with that trade category and district in their Operating Areas — ranked per section 5.3 (Boosted first, then standard)</w:t>
      </w:r>
    </w:p>
    <w:p>
      <w:pPr>
        <w:pStyle w:val="ListParagraph"/>
        <w:numPr>
          <w:ilvl w:val="0"/>
          <w:numId w:val="2"/>
        </w:numPr>
        <w:spacing w:after="80"/>
      </w:pPr>
      <w:r>
        <w:t xml:space="preserve">2. If fewer than 3 real, claimed tradespeople are found for that trade category and district: Admin-Seeded (unclaimed) profiles matching the same trade category and district are added below them, up to a total of 3 combined real-plus-seeded results, each carrying the “Not yet on WorkedWith” label (5.4) and never ranked above a real profile</w:t>
      </w:r>
    </w:p>
    <w:p>
      <w:pPr>
        <w:pStyle w:val="ListParagraph"/>
        <w:numPr>
          <w:ilvl w:val="0"/>
          <w:numId w:val="2"/>
        </w:numPr>
        <w:spacing w:after="80"/>
      </w:pPr>
      <w:r>
        <w:t xml:space="preserve">3. If no real or seeded profiles exist at all for that trade category and district, the three fictional Demo Content profiles (9.2) are shown instead, as an absolute last resort, clearly labelled “Example profile”</w:t>
      </w:r>
    </w:p>
    <w:p>
      <w:pPr>
        <w:pStyle w:val="ListParagraph"/>
        <w:numPr>
          <w:ilvl w:val="0"/>
          <w:numId w:val="2"/>
        </w:numPr>
        <w:spacing w:after="80"/>
      </w:pPr>
      <w:r>
        <w:t xml:space="preserve">Once a district and trade category reach 3 or more real, claimed tradespeople, seeded and demo content stop appearing in that search entirely — this happens automatically as a consequence of the count, with no manual toggle or admin action required</w:t>
      </w:r>
    </w:p>
    <w:p>
      <w:pPr>
        <w:spacing w:after="160"/>
      </w:pPr>
      <w:r>
        <w:t xml:space="preserve">This threshold (3) is deliberately the same number used elsewhere for Pro's included Boosted Districts (4.8, 5.1.1) by coincidence of current product decisions, not by design dependency — the two numbers can be changed independently in future versions without affecting each other.</w:t>
      </w:r>
    </w:p>
    <w:p>
      <w:pPr>
        <w:pStyle w:val="Heading2"/>
        <w:spacing w:after="120" w:before="260"/>
      </w:pPr>
      <w:r>
        <w:t xml:space="preserve">9.2 Demo Content</w:t>
      </w:r>
    </w:p>
    <w:p>
      <w:pPr>
        <w:spacing w:after="160"/>
      </w:pPr>
      <w:r>
        <w:t xml:space="preserve">Three fictional demo tradesperson profiles exist purely as the last-resort fallback in the cascade above, for a district/trade combination with no real or seeded coverage at all: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900"/>
        <w:gridCol w:w="1000"/>
        <w:gridCol w:w="1100"/>
        <w:gridCol w:w="1300"/>
      </w:tblGrid>
      <w:tr>
        <w:trPr>
          <w:tblHeader/>
        </w:trPr>
        <w:tc>
          <w:tcPr>
            <w:tcW w:type="dxa" w:w="1900"/>
            <w:shd w:fill="1F2937" w:val="clear"/>
            <w:tcMar>
              <w:top w:type="dxa" w:w="80"/>
              <w:left w:type="dxa" w:w="120"/>
              <w:bottom w:type="dxa" w:w="80"/>
              <w:right w:type="dxa" w:w="120"/>
            </w:tcMar>
          </w:tcPr>
          <w:p>
            <w:r>
              <w:rPr>
                <w:b/>
                <w:bCs/>
                <w:color w:val="FFFFFF"/>
                <w:sz w:val="20"/>
                <w:szCs w:val="20"/>
              </w:rPr>
              <w:t xml:space="preserve">Name</w:t>
            </w:r>
          </w:p>
        </w:tc>
        <w:tc>
          <w:tcPr>
            <w:tcW w:type="dxa" w:w="2400"/>
            <w:shd w:fill="1F2937" w:val="clear"/>
            <w:tcMar>
              <w:top w:type="dxa" w:w="80"/>
              <w:left w:type="dxa" w:w="120"/>
              <w:bottom w:type="dxa" w:w="80"/>
              <w:right w:type="dxa" w:w="120"/>
            </w:tcMar>
          </w:tcPr>
          <w:p>
            <w:r>
              <w:rPr>
                <w:b/>
                <w:bCs/>
                <w:color w:val="FFFFFF"/>
                <w:sz w:val="20"/>
                <w:szCs w:val="20"/>
              </w:rPr>
              <w:t xml:space="preserve">Trade</w:t>
            </w:r>
          </w:p>
        </w:tc>
        <w:tc>
          <w:tcPr>
            <w:tcW w:type="dxa" w:w="1900"/>
            <w:shd w:fill="1F2937" w:val="clear"/>
            <w:tcMar>
              <w:top w:type="dxa" w:w="80"/>
              <w:left w:type="dxa" w:w="120"/>
              <w:bottom w:type="dxa" w:w="80"/>
              <w:right w:type="dxa" w:w="120"/>
            </w:tcMar>
          </w:tcPr>
          <w:p>
            <w:r>
              <w:rPr>
                <w:b/>
                <w:bCs/>
                <w:color w:val="FFFFFF"/>
                <w:sz w:val="20"/>
                <w:szCs w:val="20"/>
              </w:rPr>
              <w:t xml:space="preserve">Area</w:t>
            </w:r>
          </w:p>
        </w:tc>
        <w:tc>
          <w:tcPr>
            <w:tcW w:type="dxa" w:w="1000"/>
            <w:shd w:fill="1F2937" w:val="clear"/>
            <w:tcMar>
              <w:top w:type="dxa" w:w="80"/>
              <w:left w:type="dxa" w:w="120"/>
              <w:bottom w:type="dxa" w:w="80"/>
              <w:right w:type="dxa" w:w="120"/>
            </w:tcMar>
          </w:tcPr>
          <w:p>
            <w:r>
              <w:rPr>
                <w:b/>
                <w:bCs/>
                <w:color w:val="FFFFFF"/>
                <w:sz w:val="20"/>
                <w:szCs w:val="20"/>
              </w:rPr>
              <w:t xml:space="preserve">Score</w:t>
            </w:r>
          </w:p>
        </w:tc>
        <w:tc>
          <w:tcPr>
            <w:tcW w:type="dxa" w:w="1100"/>
            <w:shd w:fill="1F2937" w:val="clear"/>
            <w:tcMar>
              <w:top w:type="dxa" w:w="80"/>
              <w:left w:type="dxa" w:w="120"/>
              <w:bottom w:type="dxa" w:w="80"/>
              <w:right w:type="dxa" w:w="120"/>
            </w:tcMar>
          </w:tcPr>
          <w:p>
            <w:r>
              <w:rPr>
                <w:b/>
                <w:bCs/>
                <w:color w:val="FFFFFF"/>
                <w:sz w:val="20"/>
                <w:szCs w:val="20"/>
              </w:rPr>
              <w:t xml:space="preserve">Reviews</w:t>
            </w:r>
          </w:p>
        </w:tc>
        <w:tc>
          <w:tcPr>
            <w:tcW w:type="dxa" w:w="1300"/>
            <w:shd w:fill="1F2937" w:val="clear"/>
            <w:tcMar>
              <w:top w:type="dxa" w:w="80"/>
              <w:left w:type="dxa" w:w="120"/>
              <w:bottom w:type="dxa" w:w="80"/>
              <w:right w:type="dxa" w:w="120"/>
            </w:tcMar>
          </w:tcPr>
          <w:p>
            <w:r>
              <w:rPr>
                <w:b/>
                <w:bCs/>
                <w:color w:val="FFFFFF"/>
                <w:sz w:val="20"/>
                <w:szCs w:val="20"/>
              </w:rPr>
              <w:t xml:space="preserve">Tier</w:t>
            </w:r>
          </w:p>
        </w:tc>
      </w:tr>
      <w:tr>
        <w:tc>
          <w:tcPr>
            <w:tcW w:type="dxa" w:w="1900"/>
            <w:tcMar>
              <w:top w:type="dxa" w:w="80"/>
              <w:left w:type="dxa" w:w="120"/>
              <w:bottom w:type="dxa" w:w="80"/>
              <w:right w:type="dxa" w:w="120"/>
            </w:tcMar>
          </w:tcPr>
          <w:p>
            <w:r>
              <w:rPr>
                <w:b w:val="false"/>
                <w:bCs w:val="false"/>
                <w:color w:val="111111"/>
                <w:sz w:val="20"/>
                <w:szCs w:val="20"/>
              </w:rPr>
              <w:t xml:space="preserve">James Whitfield</w:t>
            </w:r>
          </w:p>
        </w:tc>
        <w:tc>
          <w:tcPr>
            <w:tcW w:type="dxa" w:w="2400"/>
            <w:tcMar>
              <w:top w:type="dxa" w:w="80"/>
              <w:left w:type="dxa" w:w="120"/>
              <w:bottom w:type="dxa" w:w="80"/>
              <w:right w:type="dxa" w:w="120"/>
            </w:tcMar>
          </w:tcPr>
          <w:p>
            <w:r>
              <w:rPr>
                <w:b w:val="false"/>
                <w:bCs w:val="false"/>
                <w:color w:val="111111"/>
                <w:sz w:val="20"/>
                <w:szCs w:val="20"/>
              </w:rPr>
              <w:t xml:space="preserve">Electrician</w:t>
            </w:r>
          </w:p>
        </w:tc>
        <w:tc>
          <w:tcPr>
            <w:tcW w:type="dxa" w:w="1900"/>
            <w:tcMar>
              <w:top w:type="dxa" w:w="80"/>
              <w:left w:type="dxa" w:w="120"/>
              <w:bottom w:type="dxa" w:w="80"/>
              <w:right w:type="dxa" w:w="120"/>
            </w:tcMar>
          </w:tcPr>
          <w:p>
            <w:r>
              <w:rPr>
                <w:b w:val="false"/>
                <w:bCs w:val="false"/>
                <w:color w:val="111111"/>
                <w:sz w:val="20"/>
                <w:szCs w:val="20"/>
              </w:rPr>
              <w:t xml:space="preserve">CH1 (Chester)</w:t>
            </w:r>
          </w:p>
        </w:tc>
        <w:tc>
          <w:tcPr>
            <w:tcW w:type="dxa" w:w="1000"/>
            <w:tcMar>
              <w:top w:type="dxa" w:w="80"/>
              <w:left w:type="dxa" w:w="120"/>
              <w:bottom w:type="dxa" w:w="80"/>
              <w:right w:type="dxa" w:w="120"/>
            </w:tcMar>
          </w:tcPr>
          <w:p>
            <w:r>
              <w:rPr>
                <w:b w:val="false"/>
                <w:bCs w:val="false"/>
                <w:color w:val="111111"/>
                <w:sz w:val="20"/>
                <w:szCs w:val="20"/>
              </w:rPr>
              <w:t xml:space="preserve">4.8</w:t>
            </w:r>
          </w:p>
        </w:tc>
        <w:tc>
          <w:tcPr>
            <w:tcW w:type="dxa" w:w="1100"/>
            <w:tcMar>
              <w:top w:type="dxa" w:w="80"/>
              <w:left w:type="dxa" w:w="120"/>
              <w:bottom w:type="dxa" w:w="80"/>
              <w:right w:type="dxa" w:w="120"/>
            </w:tcMar>
          </w:tcPr>
          <w:p>
            <w:r>
              <w:rPr>
                <w:b w:val="false"/>
                <w:bCs w:val="false"/>
                <w:color w:val="111111"/>
                <w:sz w:val="20"/>
                <w:szCs w:val="20"/>
              </w:rPr>
              <w:t xml:space="preserve">23</w:t>
            </w:r>
          </w:p>
        </w:tc>
        <w:tc>
          <w:tcPr>
            <w:tcW w:type="dxa" w:w="1300"/>
            <w:tcMar>
              <w:top w:type="dxa" w:w="80"/>
              <w:left w:type="dxa" w:w="120"/>
              <w:bottom w:type="dxa" w:w="80"/>
              <w:right w:type="dxa" w:w="120"/>
            </w:tcMar>
          </w:tcPr>
          <w:p>
            <w:r>
              <w:rPr>
                <w:b w:val="false"/>
                <w:bCs w:val="false"/>
                <w:color w:val="111111"/>
                <w:sz w:val="20"/>
                <w:szCs w:val="20"/>
              </w:rPr>
              <w:t xml:space="preserve">Pro</w:t>
            </w:r>
          </w:p>
        </w:tc>
      </w:tr>
      <w:tr>
        <w:tc>
          <w:tcPr>
            <w:tcW w:type="dxa" w:w="1900"/>
            <w:shd w:fill="F8FAFC" w:val="clear"/>
            <w:tcMar>
              <w:top w:type="dxa" w:w="80"/>
              <w:left w:type="dxa" w:w="120"/>
              <w:bottom w:type="dxa" w:w="80"/>
              <w:right w:type="dxa" w:w="120"/>
            </w:tcMar>
          </w:tcPr>
          <w:p>
            <w:r>
              <w:rPr>
                <w:b w:val="false"/>
                <w:bCs w:val="false"/>
                <w:color w:val="111111"/>
                <w:sz w:val="20"/>
                <w:szCs w:val="20"/>
              </w:rPr>
              <w:t xml:space="preserve">Sarah Moran</w:t>
            </w:r>
          </w:p>
        </w:tc>
        <w:tc>
          <w:tcPr>
            <w:tcW w:type="dxa" w:w="2400"/>
            <w:shd w:fill="F8FAFC" w:val="clear"/>
            <w:tcMar>
              <w:top w:type="dxa" w:w="80"/>
              <w:left w:type="dxa" w:w="120"/>
              <w:bottom w:type="dxa" w:w="80"/>
              <w:right w:type="dxa" w:w="120"/>
            </w:tcMar>
          </w:tcPr>
          <w:p>
            <w:r>
              <w:rPr>
                <w:b w:val="false"/>
                <w:bCs w:val="false"/>
                <w:color w:val="111111"/>
                <w:sz w:val="20"/>
                <w:szCs w:val="20"/>
              </w:rPr>
              <w:t xml:space="preserve">Plasterer / Decorator</w:t>
            </w:r>
          </w:p>
        </w:tc>
        <w:tc>
          <w:tcPr>
            <w:tcW w:type="dxa" w:w="1900"/>
            <w:shd w:fill="F8FAFC" w:val="clear"/>
            <w:tcMar>
              <w:top w:type="dxa" w:w="80"/>
              <w:left w:type="dxa" w:w="120"/>
              <w:bottom w:type="dxa" w:w="80"/>
              <w:right w:type="dxa" w:w="120"/>
            </w:tcMar>
          </w:tcPr>
          <w:p>
            <w:r>
              <w:rPr>
                <w:b w:val="false"/>
                <w:bCs w:val="false"/>
                <w:color w:val="111111"/>
                <w:sz w:val="20"/>
                <w:szCs w:val="20"/>
              </w:rPr>
              <w:t xml:space="preserve">M1 (Manchester)</w:t>
            </w:r>
          </w:p>
        </w:tc>
        <w:tc>
          <w:tcPr>
            <w:tcW w:type="dxa" w:w="1000"/>
            <w:shd w:fill="F8FAFC" w:val="clear"/>
            <w:tcMar>
              <w:top w:type="dxa" w:w="80"/>
              <w:left w:type="dxa" w:w="120"/>
              <w:bottom w:type="dxa" w:w="80"/>
              <w:right w:type="dxa" w:w="120"/>
            </w:tcMar>
          </w:tcPr>
          <w:p>
            <w:r>
              <w:rPr>
                <w:b w:val="false"/>
                <w:bCs w:val="false"/>
                <w:color w:val="111111"/>
                <w:sz w:val="20"/>
                <w:szCs w:val="20"/>
              </w:rPr>
              <w:t xml:space="preserve">4.9</w:t>
            </w:r>
          </w:p>
        </w:tc>
        <w:tc>
          <w:tcPr>
            <w:tcW w:type="dxa" w:w="1100"/>
            <w:shd w:fill="F8FAFC" w:val="clear"/>
            <w:tcMar>
              <w:top w:type="dxa" w:w="80"/>
              <w:left w:type="dxa" w:w="120"/>
              <w:bottom w:type="dxa" w:w="80"/>
              <w:right w:type="dxa" w:w="120"/>
            </w:tcMar>
          </w:tcPr>
          <w:p>
            <w:r>
              <w:rPr>
                <w:b w:val="false"/>
                <w:bCs w:val="false"/>
                <w:color w:val="111111"/>
                <w:sz w:val="20"/>
                <w:szCs w:val="20"/>
              </w:rPr>
              <w:t xml:space="preserve">17</w:t>
            </w:r>
          </w:p>
        </w:tc>
        <w:tc>
          <w:tcPr>
            <w:tcW w:type="dxa" w:w="1300"/>
            <w:shd w:fill="F8FAFC" w:val="clear"/>
            <w:tcMar>
              <w:top w:type="dxa" w:w="80"/>
              <w:left w:type="dxa" w:w="120"/>
              <w:bottom w:type="dxa" w:w="80"/>
              <w:right w:type="dxa" w:w="120"/>
            </w:tcMar>
          </w:tcPr>
          <w:p>
            <w:r>
              <w:rPr>
                <w:b w:val="false"/>
                <w:bCs w:val="false"/>
                <w:color w:val="111111"/>
                <w:sz w:val="20"/>
                <w:szCs w:val="20"/>
              </w:rPr>
              <w:t xml:space="preserve">Standard</w:t>
            </w:r>
          </w:p>
        </w:tc>
      </w:tr>
      <w:tr>
        <w:tc>
          <w:tcPr>
            <w:tcW w:type="dxa" w:w="1900"/>
            <w:tcMar>
              <w:top w:type="dxa" w:w="80"/>
              <w:left w:type="dxa" w:w="120"/>
              <w:bottom w:type="dxa" w:w="80"/>
              <w:right w:type="dxa" w:w="120"/>
            </w:tcMar>
          </w:tcPr>
          <w:p>
            <w:r>
              <w:rPr>
                <w:b w:val="false"/>
                <w:bCs w:val="false"/>
                <w:color w:val="111111"/>
                <w:sz w:val="20"/>
                <w:szCs w:val="20"/>
              </w:rPr>
              <w:t xml:space="preserve">Owen Pritchard</w:t>
            </w:r>
          </w:p>
        </w:tc>
        <w:tc>
          <w:tcPr>
            <w:tcW w:type="dxa" w:w="2400"/>
            <w:tcMar>
              <w:top w:type="dxa" w:w="80"/>
              <w:left w:type="dxa" w:w="120"/>
              <w:bottom w:type="dxa" w:w="80"/>
              <w:right w:type="dxa" w:w="120"/>
            </w:tcMar>
          </w:tcPr>
          <w:p>
            <w:r>
              <w:rPr>
                <w:b w:val="false"/>
                <w:bCs w:val="false"/>
                <w:color w:val="111111"/>
                <w:sz w:val="20"/>
                <w:szCs w:val="20"/>
              </w:rPr>
              <w:t xml:space="preserve">Plumber</w:t>
            </w:r>
          </w:p>
        </w:tc>
        <w:tc>
          <w:tcPr>
            <w:tcW w:type="dxa" w:w="1900"/>
            <w:tcMar>
              <w:top w:type="dxa" w:w="80"/>
              <w:left w:type="dxa" w:w="120"/>
              <w:bottom w:type="dxa" w:w="80"/>
              <w:right w:type="dxa" w:w="120"/>
            </w:tcMar>
          </w:tcPr>
          <w:p>
            <w:r>
              <w:rPr>
                <w:b w:val="false"/>
                <w:bCs w:val="false"/>
                <w:color w:val="111111"/>
                <w:sz w:val="20"/>
                <w:szCs w:val="20"/>
              </w:rPr>
              <w:t xml:space="preserve">LL57 (Bangor)</w:t>
            </w:r>
          </w:p>
        </w:tc>
        <w:tc>
          <w:tcPr>
            <w:tcW w:type="dxa" w:w="1000"/>
            <w:tcMar>
              <w:top w:type="dxa" w:w="80"/>
              <w:left w:type="dxa" w:w="120"/>
              <w:bottom w:type="dxa" w:w="80"/>
              <w:right w:type="dxa" w:w="120"/>
            </w:tcMar>
          </w:tcPr>
          <w:p>
            <w:r>
              <w:rPr>
                <w:b w:val="false"/>
                <w:bCs w:val="false"/>
                <w:color w:val="111111"/>
                <w:sz w:val="20"/>
                <w:szCs w:val="20"/>
              </w:rPr>
              <w:t xml:space="preserve">4.7</w:t>
            </w:r>
          </w:p>
        </w:tc>
        <w:tc>
          <w:tcPr>
            <w:tcW w:type="dxa" w:w="1100"/>
            <w:tcMar>
              <w:top w:type="dxa" w:w="80"/>
              <w:left w:type="dxa" w:w="120"/>
              <w:bottom w:type="dxa" w:w="80"/>
              <w:right w:type="dxa" w:w="120"/>
            </w:tcMar>
          </w:tcPr>
          <w:p>
            <w:r>
              <w:rPr>
                <w:b w:val="false"/>
                <w:bCs w:val="false"/>
                <w:color w:val="111111"/>
                <w:sz w:val="20"/>
                <w:szCs w:val="20"/>
              </w:rPr>
              <w:t xml:space="preserve">34</w:t>
            </w:r>
          </w:p>
        </w:tc>
        <w:tc>
          <w:tcPr>
            <w:tcW w:type="dxa" w:w="1300"/>
            <w:tcMar>
              <w:top w:type="dxa" w:w="80"/>
              <w:left w:type="dxa" w:w="120"/>
              <w:bottom w:type="dxa" w:w="80"/>
              <w:right w:type="dxa" w:w="120"/>
            </w:tcMar>
          </w:tcPr>
          <w:p>
            <w:r>
              <w:rPr>
                <w:b w:val="false"/>
                <w:bCs w:val="false"/>
                <w:color w:val="111111"/>
                <w:sz w:val="20"/>
                <w:szCs w:val="20"/>
              </w:rPr>
              <w:t xml:space="preserve">Pro</w:t>
            </w:r>
          </w:p>
        </w:tc>
      </w:tr>
    </w:tbl>
    <w:p>
      <w:pPr>
        <w:spacing w:after="160"/>
      </w:pPr>
      <w:r>
        <w:t xml:space="preserve">Demo profiles are clearly labelled with an “Example profile” banner and are static pages at /t/demo-james-whitfield, /t/demo-sarah-moran, and /t/demo-owen-pritchard — they are not database records, are not claimable, and do not appear in admin queries. This distinguishes them from Admin-Seeded Trade Profiles (2.7), which are real, claimable database records used far more broadly across every genuinely under-covered district and trade category, not just as a fallback of last resort.</w:t>
      </w:r>
    </w:p>
    <w:p>
      <w:pPr>
        <w:pStyle w:val="Heading1"/>
        <w:spacing w:after="160" w:before="360"/>
      </w:pPr>
      <w:r>
        <w:t xml:space="preserve">10. Go-to-Market — Phase 1</w:t>
      </w:r>
    </w:p>
    <w:p>
      <w:pPr>
        <w:pStyle w:val="Heading2"/>
        <w:spacing w:after="120" w:before="260"/>
      </w:pPr>
      <w:r>
        <w:t xml:space="preserve">10.1 Target Geography</w:t>
      </w:r>
    </w:p>
    <w:p>
      <w:pPr>
        <w:spacing w:after="160"/>
      </w:pPr>
      <w:r>
        <w:t xml:space="preserve">Phase 1 is concentrated in North Wales and the Northwest of England. Local density creates local credibility. Expansion to other regions follows once density is proven. Postcode district data for these regions is curated first; national district coverage is not required for launch.</w:t>
      </w:r>
    </w:p>
    <w:p>
      <w:pPr>
        <w:pStyle w:val="Heading2"/>
        <w:spacing w:after="120" w:before="260"/>
      </w:pPr>
      <w:r>
        <w:t xml:space="preserve">10.2 Founding Tradesperson Recruitment</w:t>
      </w:r>
    </w:p>
    <w:p>
      <w:pPr>
        <w:pStyle w:val="ListParagraph"/>
        <w:numPr>
          <w:ilvl w:val="0"/>
          <w:numId w:val="2"/>
        </w:numPr>
        <w:spacing w:after="80"/>
      </w:pPr>
      <w:r>
        <w:t xml:space="preserve">Target: 50 founding tradespeople in months 1 to 3</w:t>
      </w:r>
    </w:p>
    <w:p>
      <w:pPr>
        <w:pStyle w:val="ListParagraph"/>
        <w:numPr>
          <w:ilvl w:val="0"/>
          <w:numId w:val="2"/>
        </w:numPr>
        <w:spacing w:after="80"/>
      </w:pPr>
      <w:r>
        <w:t xml:space="preserve">Personally contacted via local Facebook trade groups, WhatsApp circles, and trade forums</w:t>
      </w:r>
    </w:p>
    <w:p>
      <w:pPr>
        <w:pStyle w:val="ListParagraph"/>
        <w:numPr>
          <w:ilvl w:val="0"/>
          <w:numId w:val="2"/>
        </w:numPr>
        <w:spacing w:after="80"/>
      </w:pPr>
      <w:r>
        <w:t xml:space="preserve">Offer: 6 months Standard free for founding members who complete their profile and log at least 5 backdated jobs</w:t>
      </w:r>
    </w:p>
    <w:p>
      <w:pPr>
        <w:pStyle w:val="ListParagraph"/>
        <w:numPr>
          <w:ilvl w:val="0"/>
          <w:numId w:val="2"/>
        </w:numPr>
        <w:spacing w:after="80"/>
      </w:pPr>
      <w:r>
        <w:t xml:space="preserve">Each backdated job sends an invite to past clients, seeding both sides simultaneously</w:t>
      </w:r>
    </w:p>
    <w:p>
      <w:pPr>
        <w:pStyle w:val="ListParagraph"/>
        <w:numPr>
          <w:ilvl w:val="0"/>
          <w:numId w:val="2"/>
        </w:numPr>
        <w:spacing w:after="80"/>
      </w:pPr>
      <w:r>
        <w:t xml:space="preserve">Admin-Seeded Trade Profiles (2.7, 4.9) run alongside this as a second, parallel density lever — manually curated local listings that either convert to a claimed profile or serve as an SEO entry point while unclaimed</w:t>
      </w:r>
    </w:p>
    <w:p>
      <w:pPr>
        <w:pStyle w:val="Heading2"/>
        <w:spacing w:after="120" w:before="260"/>
      </w:pPr>
      <w:r>
        <w:t xml:space="preserve">10.3 Cold-Start Math</w:t>
      </w:r>
    </w:p>
    <w:p>
      <w:pPr>
        <w:spacing w:after="160"/>
      </w:pPr>
      <w:r>
        <w:t xml:space="preserve">50 tradespeople × 5 backdated jobs each = 250 client confirmation emails. Those 250 clients now have a WorkedWith profile. Some will use it unprompted when hiring their next tradesperson. The network seeds itself.</w:t>
      </w:r>
    </w:p>
    <w:p>
      <w:pPr>
        <w:pStyle w:val="Heading2"/>
        <w:spacing w:after="120" w:before="260"/>
      </w:pPr>
      <w:r>
        <w:t xml:space="preserve">10.4 Success Metrics — Month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2937" w:val="clear"/>
            <w:tcMar>
              <w:top w:type="dxa" w:w="80"/>
              <w:left w:type="dxa" w:w="120"/>
              <w:bottom w:type="dxa" w:w="80"/>
              <w:right w:type="dxa" w:w="120"/>
            </w:tcMar>
          </w:tcPr>
          <w:p>
            <w:r>
              <w:rPr>
                <w:b/>
                <w:bCs/>
                <w:color w:val="FFFFFF"/>
                <w:sz w:val="20"/>
                <w:szCs w:val="20"/>
              </w:rPr>
              <w:t xml:space="preserve">Metric</w:t>
            </w:r>
          </w:p>
        </w:tc>
        <w:tc>
          <w:tcPr>
            <w:tcW w:type="dxa" w:w="4800"/>
            <w:shd w:fill="1F2937" w:val="clear"/>
            <w:tcMar>
              <w:top w:type="dxa" w:w="80"/>
              <w:left w:type="dxa" w:w="120"/>
              <w:bottom w:type="dxa" w:w="80"/>
              <w:right w:type="dxa" w:w="120"/>
            </w:tcMar>
          </w:tcPr>
          <w:p>
            <w:r>
              <w:rPr>
                <w:b/>
                <w:bCs/>
                <w:color w:val="FFFFFF"/>
                <w:sz w:val="20"/>
                <w:szCs w:val="20"/>
              </w:rPr>
              <w:t xml:space="preserve">Target</w:t>
            </w:r>
          </w:p>
        </w:tc>
      </w:tr>
      <w:tr>
        <w:tc>
          <w:tcPr>
            <w:tcW w:type="dxa" w:w="4800"/>
            <w:tcMar>
              <w:top w:type="dxa" w:w="80"/>
              <w:left w:type="dxa" w:w="120"/>
              <w:bottom w:type="dxa" w:w="80"/>
              <w:right w:type="dxa" w:w="120"/>
            </w:tcMar>
          </w:tcPr>
          <w:p>
            <w:r>
              <w:rPr>
                <w:b w:val="false"/>
                <w:bCs w:val="false"/>
                <w:color w:val="111111"/>
                <w:sz w:val="20"/>
                <w:szCs w:val="20"/>
              </w:rPr>
              <w:t xml:space="preserve">Registered tradespeople</w:t>
            </w:r>
          </w:p>
        </w:tc>
        <w:tc>
          <w:tcPr>
            <w:tcW w:type="dxa" w:w="4800"/>
            <w:tcMar>
              <w:top w:type="dxa" w:w="80"/>
              <w:left w:type="dxa" w:w="120"/>
              <w:bottom w:type="dxa" w:w="80"/>
              <w:right w:type="dxa" w:w="120"/>
            </w:tcMar>
          </w:tcPr>
          <w:p>
            <w:r>
              <w:rPr>
                <w:b w:val="false"/>
                <w:bCs w:val="false"/>
                <w:color w:val="111111"/>
                <w:sz w:val="20"/>
                <w:szCs w:val="20"/>
              </w:rPr>
              <w:t xml:space="preserve">50+</w:t>
            </w:r>
          </w:p>
        </w:tc>
      </w:tr>
      <w:tr>
        <w:tc>
          <w:tcPr>
            <w:tcW w:type="dxa" w:w="4800"/>
            <w:shd w:fill="F8FAFC" w:val="clear"/>
            <w:tcMar>
              <w:top w:type="dxa" w:w="80"/>
              <w:left w:type="dxa" w:w="120"/>
              <w:bottom w:type="dxa" w:w="80"/>
              <w:right w:type="dxa" w:w="120"/>
            </w:tcMar>
          </w:tcPr>
          <w:p>
            <w:r>
              <w:rPr>
                <w:b w:val="false"/>
                <w:bCs w:val="false"/>
                <w:color w:val="111111"/>
                <w:sz w:val="20"/>
                <w:szCs w:val="20"/>
              </w:rPr>
              <w:t xml:space="preserve">Verified reviews</w:t>
            </w:r>
          </w:p>
        </w:tc>
        <w:tc>
          <w:tcPr>
            <w:tcW w:type="dxa" w:w="4800"/>
            <w:shd w:fill="F8FAFC" w:val="clear"/>
            <w:tcMar>
              <w:top w:type="dxa" w:w="80"/>
              <w:left w:type="dxa" w:w="120"/>
              <w:bottom w:type="dxa" w:w="80"/>
              <w:right w:type="dxa" w:w="120"/>
            </w:tcMar>
          </w:tcPr>
          <w:p>
            <w:r>
              <w:rPr>
                <w:b w:val="false"/>
                <w:bCs w:val="false"/>
                <w:color w:val="111111"/>
                <w:sz w:val="20"/>
                <w:szCs w:val="20"/>
              </w:rPr>
              <w:t xml:space="preserve">250+</w:t>
            </w:r>
          </w:p>
        </w:tc>
      </w:tr>
      <w:tr>
        <w:tc>
          <w:tcPr>
            <w:tcW w:type="dxa" w:w="4800"/>
            <w:tcMar>
              <w:top w:type="dxa" w:w="80"/>
              <w:left w:type="dxa" w:w="120"/>
              <w:bottom w:type="dxa" w:w="80"/>
              <w:right w:type="dxa" w:w="120"/>
            </w:tcMar>
          </w:tcPr>
          <w:p>
            <w:r>
              <w:rPr>
                <w:b w:val="false"/>
                <w:bCs w:val="false"/>
                <w:color w:val="111111"/>
                <w:sz w:val="20"/>
                <w:szCs w:val="20"/>
              </w:rPr>
              <w:t xml:space="preserve">Confirmed jobs logged</w:t>
            </w:r>
          </w:p>
        </w:tc>
        <w:tc>
          <w:tcPr>
            <w:tcW w:type="dxa" w:w="4800"/>
            <w:tcMar>
              <w:top w:type="dxa" w:w="80"/>
              <w:left w:type="dxa" w:w="120"/>
              <w:bottom w:type="dxa" w:w="80"/>
              <w:right w:type="dxa" w:w="120"/>
            </w:tcMar>
          </w:tcPr>
          <w:p>
            <w:r>
              <w:rPr>
                <w:b w:val="false"/>
                <w:bCs w:val="false"/>
                <w:color w:val="111111"/>
                <w:sz w:val="20"/>
                <w:szCs w:val="20"/>
              </w:rPr>
              <w:t xml:space="preserve">150+</w:t>
            </w:r>
          </w:p>
        </w:tc>
      </w:tr>
      <w:tr>
        <w:tc>
          <w:tcPr>
            <w:tcW w:type="dxa" w:w="4800"/>
            <w:shd w:fill="F8FAFC" w:val="clear"/>
            <w:tcMar>
              <w:top w:type="dxa" w:w="80"/>
              <w:left w:type="dxa" w:w="120"/>
              <w:bottom w:type="dxa" w:w="80"/>
              <w:right w:type="dxa" w:w="120"/>
            </w:tcMar>
          </w:tcPr>
          <w:p>
            <w:r>
              <w:rPr>
                <w:b w:val="false"/>
                <w:bCs w:val="false"/>
                <w:color w:val="111111"/>
                <w:sz w:val="20"/>
                <w:szCs w:val="20"/>
              </w:rPr>
              <w:t xml:space="preserve">Client accounts</w:t>
            </w:r>
          </w:p>
        </w:tc>
        <w:tc>
          <w:tcPr>
            <w:tcW w:type="dxa" w:w="4800"/>
            <w:shd w:fill="F8FAFC" w:val="clear"/>
            <w:tcMar>
              <w:top w:type="dxa" w:w="80"/>
              <w:left w:type="dxa" w:w="120"/>
              <w:bottom w:type="dxa" w:w="80"/>
              <w:right w:type="dxa" w:w="120"/>
            </w:tcMar>
          </w:tcPr>
          <w:p>
            <w:r>
              <w:rPr>
                <w:b w:val="false"/>
                <w:bCs w:val="false"/>
                <w:color w:val="111111"/>
                <w:sz w:val="20"/>
                <w:szCs w:val="20"/>
              </w:rPr>
              <w:t xml:space="preserve">300+</w:t>
            </w:r>
          </w:p>
        </w:tc>
      </w:tr>
      <w:tr>
        <w:tc>
          <w:tcPr>
            <w:tcW w:type="dxa" w:w="4800"/>
            <w:tcMar>
              <w:top w:type="dxa" w:w="80"/>
              <w:left w:type="dxa" w:w="120"/>
              <w:bottom w:type="dxa" w:w="80"/>
              <w:right w:type="dxa" w:w="120"/>
            </w:tcMar>
          </w:tcPr>
          <w:p>
            <w:r>
              <w:rPr>
                <w:b w:val="false"/>
                <w:bCs w:val="false"/>
                <w:color w:val="111111"/>
                <w:sz w:val="20"/>
                <w:szCs w:val="20"/>
              </w:rPr>
              <w:t xml:space="preserve">Monthly organic sessions</w:t>
            </w:r>
          </w:p>
        </w:tc>
        <w:tc>
          <w:tcPr>
            <w:tcW w:type="dxa" w:w="4800"/>
            <w:tcMar>
              <w:top w:type="dxa" w:w="80"/>
              <w:left w:type="dxa" w:w="120"/>
              <w:bottom w:type="dxa" w:w="80"/>
              <w:right w:type="dxa" w:w="120"/>
            </w:tcMar>
          </w:tcPr>
          <w:p>
            <w:r>
              <w:rPr>
                <w:b w:val="false"/>
                <w:bCs w:val="false"/>
                <w:color w:val="111111"/>
                <w:sz w:val="20"/>
                <w:szCs w:val="20"/>
              </w:rPr>
              <w:t xml:space="preserve">1,000+</w:t>
            </w:r>
          </w:p>
        </w:tc>
      </w:tr>
      <w:tr>
        <w:tc>
          <w:tcPr>
            <w:tcW w:type="dxa" w:w="4800"/>
            <w:shd w:fill="F8FAFC" w:val="clear"/>
            <w:tcMar>
              <w:top w:type="dxa" w:w="80"/>
              <w:left w:type="dxa" w:w="120"/>
              <w:bottom w:type="dxa" w:w="80"/>
              <w:right w:type="dxa" w:w="120"/>
            </w:tcMar>
          </w:tcPr>
          <w:p>
            <w:r>
              <w:rPr>
                <w:b w:val="false"/>
                <w:bCs w:val="false"/>
                <w:color w:val="111111"/>
                <w:sz w:val="20"/>
                <w:szCs w:val="20"/>
              </w:rPr>
              <w:t xml:space="preserve">Standard/Pro subscribers</w:t>
            </w:r>
          </w:p>
        </w:tc>
        <w:tc>
          <w:tcPr>
            <w:tcW w:type="dxa" w:w="4800"/>
            <w:shd w:fill="F8FAFC" w:val="clear"/>
            <w:tcMar>
              <w:top w:type="dxa" w:w="80"/>
              <w:left w:type="dxa" w:w="120"/>
              <w:bottom w:type="dxa" w:w="80"/>
              <w:right w:type="dxa" w:w="120"/>
            </w:tcMar>
          </w:tcPr>
          <w:p>
            <w:r>
              <w:rPr>
                <w:b w:val="false"/>
                <w:bCs w:val="false"/>
                <w:color w:val="111111"/>
                <w:sz w:val="20"/>
                <w:szCs w:val="20"/>
              </w:rPr>
              <w:t xml:space="preserve">10+</w:t>
            </w:r>
          </w:p>
        </w:tc>
      </w:tr>
      <w:tr>
        <w:tc>
          <w:tcPr>
            <w:tcW w:type="dxa" w:w="4800"/>
            <w:tcMar>
              <w:top w:type="dxa" w:w="80"/>
              <w:left w:type="dxa" w:w="120"/>
              <w:bottom w:type="dxa" w:w="80"/>
              <w:right w:type="dxa" w:w="120"/>
            </w:tcMar>
          </w:tcPr>
          <w:p>
            <w:r>
              <w:rPr>
                <w:b w:val="false"/>
                <w:bCs w:val="false"/>
                <w:color w:val="111111"/>
                <w:sz w:val="20"/>
                <w:szCs w:val="20"/>
              </w:rPr>
              <w:t xml:space="preserve">MRR</w:t>
            </w:r>
          </w:p>
        </w:tc>
        <w:tc>
          <w:tcPr>
            <w:tcW w:type="dxa" w:w="4800"/>
            <w:tcMar>
              <w:top w:type="dxa" w:w="80"/>
              <w:left w:type="dxa" w:w="120"/>
              <w:bottom w:type="dxa" w:w="80"/>
              <w:right w:type="dxa" w:w="120"/>
            </w:tcMar>
          </w:tcPr>
          <w:p>
            <w:r>
              <w:rPr>
                <w:b w:val="false"/>
                <w:bCs w:val="false"/>
                <w:color w:val="111111"/>
                <w:sz w:val="20"/>
                <w:szCs w:val="20"/>
              </w:rPr>
              <w:t xml:space="preserve">~£100+</w:t>
            </w:r>
          </w:p>
        </w:tc>
      </w:tr>
    </w:tbl>
    <w:p>
      <w:pPr>
        <w:pStyle w:val="Heading1"/>
        <w:spacing w:after="160" w:before="360"/>
      </w:pPr>
      <w:r>
        <w:t xml:space="preserve">11. Document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6500"/>
      </w:tblGrid>
      <w:tr>
        <w:trPr>
          <w:tblHeader/>
        </w:trPr>
        <w:tc>
          <w:tcPr>
            <w:tcW w:type="dxa" w:w="1500"/>
            <w:shd w:fill="1F2937" w:val="clear"/>
            <w:tcMar>
              <w:top w:type="dxa" w:w="80"/>
              <w:left w:type="dxa" w:w="120"/>
              <w:bottom w:type="dxa" w:w="80"/>
              <w:right w:type="dxa" w:w="120"/>
            </w:tcMar>
          </w:tcPr>
          <w:p>
            <w:r>
              <w:rPr>
                <w:b/>
                <w:bCs/>
                <w:color w:val="FFFFFF"/>
                <w:sz w:val="20"/>
                <w:szCs w:val="20"/>
              </w:rPr>
              <w:t xml:space="preserve">Version</w:t>
            </w:r>
          </w:p>
        </w:tc>
        <w:tc>
          <w:tcPr>
            <w:tcW w:type="dxa" w:w="1400"/>
            <w:shd w:fill="1F2937" w:val="clear"/>
            <w:tcMar>
              <w:top w:type="dxa" w:w="80"/>
              <w:left w:type="dxa" w:w="120"/>
              <w:bottom w:type="dxa" w:w="80"/>
              <w:right w:type="dxa" w:w="120"/>
            </w:tcMar>
          </w:tcPr>
          <w:p>
            <w:r>
              <w:rPr>
                <w:b/>
                <w:bCs/>
                <w:color w:val="FFFFFF"/>
                <w:sz w:val="20"/>
                <w:szCs w:val="20"/>
              </w:rPr>
              <w:t xml:space="preserve">Date</w:t>
            </w:r>
          </w:p>
        </w:tc>
        <w:tc>
          <w:tcPr>
            <w:tcW w:type="dxa" w:w="6500"/>
            <w:shd w:fill="1F2937" w:val="clear"/>
            <w:tcMar>
              <w:top w:type="dxa" w:w="80"/>
              <w:left w:type="dxa" w:w="120"/>
              <w:bottom w:type="dxa" w:w="80"/>
              <w:right w:type="dxa" w:w="120"/>
            </w:tcMar>
          </w:tcPr>
          <w:p>
            <w:r>
              <w:rPr>
                <w:b/>
                <w:bCs/>
                <w:color w:val="FFFFFF"/>
                <w:sz w:val="20"/>
                <w:szCs w:val="20"/>
              </w:rPr>
              <w:t xml:space="preserve">Notes</w:t>
            </w:r>
          </w:p>
        </w:tc>
      </w:tr>
      <w:tr>
        <w:tc>
          <w:tcPr>
            <w:tcW w:type="dxa" w:w="1500"/>
            <w:tcMar>
              <w:top w:type="dxa" w:w="80"/>
              <w:left w:type="dxa" w:w="120"/>
              <w:bottom w:type="dxa" w:w="80"/>
              <w:right w:type="dxa" w:w="120"/>
            </w:tcMar>
          </w:tcPr>
          <w:p>
            <w:r>
              <w:rPr>
                <w:b w:val="false"/>
                <w:bCs w:val="false"/>
                <w:color w:val="111111"/>
                <w:sz w:val="20"/>
                <w:szCs w:val="20"/>
              </w:rPr>
              <w:t xml:space="preserve">v1.0</w:t>
            </w:r>
          </w:p>
        </w:tc>
        <w:tc>
          <w:tcPr>
            <w:tcW w:type="dxa" w:w="1400"/>
            <w:tcMar>
              <w:top w:type="dxa" w:w="80"/>
              <w:left w:type="dxa" w:w="120"/>
              <w:bottom w:type="dxa" w:w="80"/>
              <w:right w:type="dxa" w:w="120"/>
            </w:tcMar>
          </w:tcPr>
          <w:p>
            <w:r>
              <w:rPr>
                <w:b w:val="false"/>
                <w:bCs w:val="false"/>
                <w:color w:val="111111"/>
                <w:sz w:val="20"/>
                <w:szCs w:val="20"/>
              </w:rPr>
              <w:t xml:space="preserve">June 2026</w:t>
            </w:r>
          </w:p>
        </w:tc>
        <w:tc>
          <w:tcPr>
            <w:tcW w:type="dxa" w:w="6500"/>
            <w:tcMar>
              <w:top w:type="dxa" w:w="80"/>
              <w:left w:type="dxa" w:w="120"/>
              <w:bottom w:type="dxa" w:w="80"/>
              <w:right w:type="dxa" w:w="120"/>
            </w:tcMar>
          </w:tcPr>
          <w:p>
            <w:r>
              <w:rPr>
                <w:b w:val="false"/>
                <w:bCs w:val="false"/>
                <w:color w:val="111111"/>
                <w:sz w:val="20"/>
                <w:szCs w:val="20"/>
              </w:rPr>
              <w:t xml:space="preserve">Initial concept PRD</w:t>
            </w:r>
          </w:p>
        </w:tc>
      </w:tr>
      <w:tr>
        <w:tc>
          <w:tcPr>
            <w:tcW w:type="dxa" w:w="1500"/>
            <w:shd w:fill="F8FAFC" w:val="clear"/>
            <w:tcMar>
              <w:top w:type="dxa" w:w="80"/>
              <w:left w:type="dxa" w:w="120"/>
              <w:bottom w:type="dxa" w:w="80"/>
              <w:right w:type="dxa" w:w="120"/>
            </w:tcMar>
          </w:tcPr>
          <w:p>
            <w:r>
              <w:rPr>
                <w:b w:val="false"/>
                <w:bCs w:val="false"/>
                <w:color w:val="111111"/>
                <w:sz w:val="20"/>
                <w:szCs w:val="20"/>
              </w:rPr>
              <w:t xml:space="preserve">v2.0</w:t>
            </w:r>
          </w:p>
        </w:tc>
        <w:tc>
          <w:tcPr>
            <w:tcW w:type="dxa" w:w="1400"/>
            <w:shd w:fill="F8FAFC" w:val="clear"/>
            <w:tcMar>
              <w:top w:type="dxa" w:w="80"/>
              <w:left w:type="dxa" w:w="120"/>
              <w:bottom w:type="dxa" w:w="80"/>
              <w:right w:type="dxa" w:w="120"/>
            </w:tcMar>
          </w:tcPr>
          <w:p>
            <w:r>
              <w:rPr>
                <w:b w:val="false"/>
                <w:bCs w:val="false"/>
                <w:color w:val="111111"/>
                <w:sz w:val="20"/>
                <w:szCs w:val="20"/>
              </w:rPr>
              <w:t xml:space="preserve">June 2026</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Full platform PRD with 16 modules</w:t>
            </w:r>
          </w:p>
        </w:tc>
      </w:tr>
      <w:tr>
        <w:tc>
          <w:tcPr>
            <w:tcW w:type="dxa" w:w="1500"/>
            <w:tcMar>
              <w:top w:type="dxa" w:w="80"/>
              <w:left w:type="dxa" w:w="120"/>
              <w:bottom w:type="dxa" w:w="80"/>
              <w:right w:type="dxa" w:w="120"/>
            </w:tcMar>
          </w:tcPr>
          <w:p>
            <w:r>
              <w:rPr>
                <w:b w:val="false"/>
                <w:bCs w:val="false"/>
                <w:color w:val="111111"/>
                <w:sz w:val="20"/>
                <w:szCs w:val="20"/>
              </w:rPr>
              <w:t xml:space="preserve">v2.1</w:t>
            </w:r>
          </w:p>
        </w:tc>
        <w:tc>
          <w:tcPr>
            <w:tcW w:type="dxa" w:w="1400"/>
            <w:tcMar>
              <w:top w:type="dxa" w:w="80"/>
              <w:left w:type="dxa" w:w="120"/>
              <w:bottom w:type="dxa" w:w="80"/>
              <w:right w:type="dxa" w:w="120"/>
            </w:tcMar>
          </w:tcPr>
          <w:p>
            <w:r>
              <w:rPr>
                <w:b w:val="false"/>
                <w:bCs w:val="false"/>
                <w:color w:val="111111"/>
                <w:sz w:val="20"/>
                <w:szCs w:val="20"/>
              </w:rPr>
              <w:t xml:space="preserve">June 2026</w:t>
            </w:r>
          </w:p>
        </w:tc>
        <w:tc>
          <w:tcPr>
            <w:tcW w:type="dxa" w:w="6500"/>
            <w:tcMar>
              <w:top w:type="dxa" w:w="80"/>
              <w:left w:type="dxa" w:w="120"/>
              <w:bottom w:type="dxa" w:w="80"/>
              <w:right w:type="dxa" w:w="120"/>
            </w:tcMar>
          </w:tcPr>
          <w:p>
            <w:r>
              <w:rPr>
                <w:b w:val="false"/>
                <w:bCs w:val="false"/>
                <w:color w:val="111111"/>
                <w:sz w:val="20"/>
                <w:szCs w:val="20"/>
              </w:rPr>
              <w:t xml:space="preserve">Schema alignment and auth flow updates</w:t>
            </w:r>
          </w:p>
        </w:tc>
      </w:tr>
      <w:tr>
        <w:tc>
          <w:tcPr>
            <w:tcW w:type="dxa" w:w="1500"/>
            <w:shd w:fill="F8FAFC" w:val="clear"/>
            <w:tcMar>
              <w:top w:type="dxa" w:w="80"/>
              <w:left w:type="dxa" w:w="120"/>
              <w:bottom w:type="dxa" w:w="80"/>
              <w:right w:type="dxa" w:w="120"/>
            </w:tcMar>
          </w:tcPr>
          <w:p>
            <w:r>
              <w:rPr>
                <w:b w:val="false"/>
                <w:bCs w:val="false"/>
                <w:color w:val="111111"/>
                <w:sz w:val="20"/>
                <w:szCs w:val="20"/>
              </w:rPr>
              <w:t xml:space="preserve">Pricing PRD v1.0</w:t>
            </w:r>
          </w:p>
        </w:tc>
        <w:tc>
          <w:tcPr>
            <w:tcW w:type="dxa" w:w="1400"/>
            <w:shd w:fill="F8FAFC" w:val="clear"/>
            <w:tcMar>
              <w:top w:type="dxa" w:w="80"/>
              <w:left w:type="dxa" w:w="120"/>
              <w:bottom w:type="dxa" w:w="80"/>
              <w:right w:type="dxa" w:w="120"/>
            </w:tcMar>
          </w:tcPr>
          <w:p>
            <w:r>
              <w:rPr>
                <w:b w:val="false"/>
                <w:bCs w:val="false"/>
                <w:color w:val="111111"/>
                <w:sz w:val="20"/>
                <w:szCs w:val="20"/>
              </w:rPr>
              <w:t xml:space="preserve">June 2026</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Initial pricing draft</w:t>
            </w:r>
          </w:p>
        </w:tc>
      </w:tr>
      <w:tr>
        <w:tc>
          <w:tcPr>
            <w:tcW w:type="dxa" w:w="1500"/>
            <w:tcMar>
              <w:top w:type="dxa" w:w="80"/>
              <w:left w:type="dxa" w:w="120"/>
              <w:bottom w:type="dxa" w:w="80"/>
              <w:right w:type="dxa" w:w="120"/>
            </w:tcMar>
          </w:tcPr>
          <w:p>
            <w:r>
              <w:rPr>
                <w:b w:val="false"/>
                <w:bCs w:val="false"/>
                <w:color w:val="111111"/>
                <w:sz w:val="20"/>
                <w:szCs w:val="20"/>
              </w:rPr>
              <w:t xml:space="preserve">Pricing PRD v1.2</w:t>
            </w:r>
          </w:p>
        </w:tc>
        <w:tc>
          <w:tcPr>
            <w:tcW w:type="dxa" w:w="1400"/>
            <w:tcMar>
              <w:top w:type="dxa" w:w="80"/>
              <w:left w:type="dxa" w:w="120"/>
              <w:bottom w:type="dxa" w:w="80"/>
              <w:right w:type="dxa" w:w="120"/>
            </w:tcMar>
          </w:tcPr>
          <w:p>
            <w:r>
              <w:rPr>
                <w:b w:val="false"/>
                <w:bCs w:val="false"/>
                <w:color w:val="111111"/>
                <w:sz w:val="20"/>
                <w:szCs w:val="20"/>
              </w:rPr>
              <w:t xml:space="preserve">June 2026</w:t>
            </w:r>
          </w:p>
        </w:tc>
        <w:tc>
          <w:tcPr>
            <w:tcW w:type="dxa" w:w="6500"/>
            <w:tcMar>
              <w:top w:type="dxa" w:w="80"/>
              <w:left w:type="dxa" w:w="120"/>
              <w:bottom w:type="dxa" w:w="80"/>
              <w:right w:type="dxa" w:w="120"/>
            </w:tcMar>
          </w:tcPr>
          <w:p>
            <w:r>
              <w:rPr>
                <w:b w:val="false"/>
                <w:bCs w:val="false"/>
                <w:color w:val="111111"/>
                <w:sz w:val="20"/>
                <w:szCs w:val="20"/>
              </w:rPr>
              <w:t xml:space="preserve">Billing model, cancellation terms, technical notes</w:t>
            </w:r>
          </w:p>
        </w:tc>
      </w:tr>
      <w:tr>
        <w:tc>
          <w:tcPr>
            <w:tcW w:type="dxa" w:w="1500"/>
            <w:shd w:fill="F8FAFC" w:val="clear"/>
            <w:tcMar>
              <w:top w:type="dxa" w:w="80"/>
              <w:left w:type="dxa" w:w="120"/>
              <w:bottom w:type="dxa" w:w="80"/>
              <w:right w:type="dxa" w:w="120"/>
            </w:tcMar>
          </w:tcPr>
          <w:p>
            <w:r>
              <w:rPr>
                <w:b w:val="false"/>
                <w:bCs w:val="false"/>
                <w:color w:val="111111"/>
                <w:sz w:val="20"/>
                <w:szCs w:val="20"/>
              </w:rPr>
              <w:t xml:space="preserve">v3.0</w:t>
            </w:r>
          </w:p>
        </w:tc>
        <w:tc>
          <w:tcPr>
            <w:tcW w:type="dxa" w:w="1400"/>
            <w:shd w:fill="F8FAFC" w:val="clear"/>
            <w:tcMar>
              <w:top w:type="dxa" w:w="80"/>
              <w:left w:type="dxa" w:w="120"/>
              <w:bottom w:type="dxa" w:w="80"/>
              <w:right w:type="dxa" w:w="120"/>
            </w:tcMar>
          </w:tcPr>
          <w:p>
            <w:r>
              <w:rPr>
                <w:b w:val="false"/>
                <w:bCs w:val="false"/>
                <w:color w:val="111111"/>
                <w:sz w:val="20"/>
                <w:szCs w:val="20"/>
              </w:rPr>
              <w:t xml:space="preserve">July 2026</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Full consolidated PRD — platform as built and deployed. Incorporates all pricing, features, routes, trust and safety systems, demo content, and go-to-market plan. Annual pricing updated to £99.90 (Standard) and £399.90 (Pro).</w:t>
            </w:r>
          </w:p>
        </w:tc>
      </w:tr>
      <w:tr>
        <w:tc>
          <w:tcPr>
            <w:tcW w:type="dxa" w:w="1500"/>
            <w:tcMar>
              <w:top w:type="dxa" w:w="80"/>
              <w:left w:type="dxa" w:w="120"/>
              <w:bottom w:type="dxa" w:w="80"/>
              <w:right w:type="dxa" w:w="120"/>
            </w:tcMar>
          </w:tcPr>
          <w:p>
            <w:r>
              <w:rPr>
                <w:b w:val="false"/>
                <w:bCs w:val="false"/>
                <w:color w:val="111111"/>
                <w:sz w:val="20"/>
                <w:szCs w:val="20"/>
              </w:rPr>
              <w:t xml:space="preserve">v3.1</w:t>
            </w:r>
          </w:p>
        </w:tc>
        <w:tc>
          <w:tcPr>
            <w:tcW w:type="dxa" w:w="1400"/>
            <w:tcMar>
              <w:top w:type="dxa" w:w="80"/>
              <w:left w:type="dxa" w:w="120"/>
              <w:bottom w:type="dxa" w:w="80"/>
              <w:right w:type="dxa" w:w="120"/>
            </w:tcMar>
          </w:tcPr>
          <w:p>
            <w:r>
              <w:rPr>
                <w:b w:val="false"/>
                <w:bCs w:val="false"/>
                <w:color w:val="111111"/>
                <w:sz w:val="20"/>
                <w:szCs w:val="20"/>
              </w:rPr>
              <w:t xml:space="preserve">July 2026</w:t>
            </w:r>
          </w:p>
        </w:tc>
        <w:tc>
          <w:tcPr>
            <w:tcW w:type="dxa" w:w="6500"/>
            <w:tcMar>
              <w:top w:type="dxa" w:w="80"/>
              <w:left w:type="dxa" w:w="120"/>
              <w:bottom w:type="dxa" w:w="80"/>
              <w:right w:type="dxa" w:w="120"/>
            </w:tcMar>
          </w:tcPr>
          <w:p>
            <w:r>
              <w:rPr>
                <w:b w:val="false"/>
                <w:bCs w:val="false"/>
                <w:color w:val="111111"/>
                <w:sz w:val="20"/>
                <w:szCs w:val="20"/>
              </w:rPr>
              <w:t xml:space="preserve">Added Client-Initiated Job Invite (Trade Claim Flow) — section 4.7, 2.5. New routes /invite/claim/[token] and /jobs/log/invite-trade. New admin route /admin/pending-invites. New Trust &amp; Safety section 7.5 on pending invite data handling. Added product principle on two-sided verification for all published content.</w:t>
            </w:r>
          </w:p>
        </w:tc>
      </w:tr>
      <w:tr>
        <w:tc>
          <w:tcPr>
            <w:tcW w:type="dxa" w:w="1500"/>
            <w:shd w:fill="F8FAFC" w:val="clear"/>
            <w:tcMar>
              <w:top w:type="dxa" w:w="80"/>
              <w:left w:type="dxa" w:w="120"/>
              <w:bottom w:type="dxa" w:w="80"/>
              <w:right w:type="dxa" w:w="120"/>
            </w:tcMar>
          </w:tcPr>
          <w:p>
            <w:r>
              <w:rPr>
                <w:b w:val="false"/>
                <w:bCs w:val="false"/>
                <w:color w:val="111111"/>
                <w:sz w:val="20"/>
                <w:szCs w:val="20"/>
              </w:rPr>
              <w:t xml:space="preserve">v3.2</w:t>
            </w:r>
          </w:p>
        </w:tc>
        <w:tc>
          <w:tcPr>
            <w:tcW w:type="dxa" w:w="1400"/>
            <w:shd w:fill="F8FAFC" w:val="clear"/>
            <w:tcMar>
              <w:top w:type="dxa" w:w="80"/>
              <w:left w:type="dxa" w:w="120"/>
              <w:bottom w:type="dxa" w:w="80"/>
              <w:right w:type="dxa" w:w="120"/>
            </w:tcMar>
          </w:tcPr>
          <w:p>
            <w:r>
              <w:rPr>
                <w:b w:val="false"/>
                <w:bCs w:val="false"/>
                <w:color w:val="111111"/>
                <w:sz w:val="20"/>
                <w:szCs w:val="20"/>
              </w:rPr>
              <w:t xml:space="preserve">August 2026</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Replaced Haversine radius search with postcode-district Operating Areas (up to 20 districts, all tiers) — new section 2.6, updated section 3, 4.1, 7.2. Introduced Boosted Districts as the Pro ranking mechanic (max 5, 30-day change cooldown) — new section 4.8, rewritten 5.3. Decoupled badges from ranking position and renamed “Featured badge” to “Pro badge” — new section 5.4. Added new route /profile/areas. Added product positioning on self-selection as the platform's first accountability filter — new section 1.2, new principle in section 8.</w:t>
            </w:r>
          </w:p>
        </w:tc>
      </w:tr>
      <w:tr>
        <w:tc>
          <w:tcPr>
            <w:tcW w:type="dxa" w:w="1500"/>
            <w:tcMar>
              <w:top w:type="dxa" w:w="80"/>
              <w:left w:type="dxa" w:w="120"/>
              <w:bottom w:type="dxa" w:w="80"/>
              <w:right w:type="dxa" w:w="120"/>
            </w:tcMar>
          </w:tcPr>
          <w:p>
            <w:r>
              <w:rPr>
                <w:b w:val="false"/>
                <w:bCs w:val="false"/>
                <w:color w:val="111111"/>
                <w:sz w:val="20"/>
                <w:szCs w:val="20"/>
              </w:rPr>
              <w:t xml:space="preserve">v3.3</w:t>
            </w:r>
          </w:p>
        </w:tc>
        <w:tc>
          <w:tcPr>
            <w:tcW w:type="dxa" w:w="1400"/>
            <w:tcMar>
              <w:top w:type="dxa" w:w="80"/>
              <w:left w:type="dxa" w:w="120"/>
              <w:bottom w:type="dxa" w:w="80"/>
              <w:right w:type="dxa" w:w="120"/>
            </w:tcMar>
          </w:tcPr>
          <w:p>
            <w:r>
              <w:rPr>
                <w:b w:val="false"/>
                <w:bCs w:val="false"/>
                <w:color w:val="111111"/>
                <w:sz w:val="20"/>
                <w:szCs w:val="20"/>
              </w:rPr>
              <w:t xml:space="preserve">August 2026</w:t>
            </w:r>
          </w:p>
        </w:tc>
        <w:tc>
          <w:tcPr>
            <w:tcW w:type="dxa" w:w="6500"/>
            <w:tcMar>
              <w:top w:type="dxa" w:w="80"/>
              <w:left w:type="dxa" w:w="120"/>
              <w:bottom w:type="dxa" w:w="80"/>
              <w:right w:type="dxa" w:w="120"/>
            </w:tcMar>
          </w:tcPr>
          <w:p>
            <w:r>
              <w:rPr>
                <w:b w:val="false"/>
                <w:bCs w:val="false"/>
                <w:color w:val="111111"/>
                <w:sz w:val="20"/>
                <w:szCs w:val="20"/>
              </w:rPr>
              <w:t xml:space="preserve">Reduced included Boosted Districts from 5 to 3 and introduced the Boosted District Add-on (£10/month per additional district, Pro subscribers only) — new section 5.1.1, updated section 4.8, 5.2, 5.3, 5.5, and the scarcity principle in section 8. Add-on billed as a separate Stripe subscription item on the Pro subscription; cancelled automatically if Pro is cancelled.</w:t>
            </w:r>
          </w:p>
        </w:tc>
      </w:tr>
      <w:tr>
        <w:tc>
          <w:tcPr>
            <w:tcW w:type="dxa" w:w="1500"/>
            <w:shd w:fill="F8FAFC" w:val="clear"/>
            <w:tcMar>
              <w:top w:type="dxa" w:w="80"/>
              <w:left w:type="dxa" w:w="120"/>
              <w:bottom w:type="dxa" w:w="80"/>
              <w:right w:type="dxa" w:w="120"/>
            </w:tcMar>
          </w:tcPr>
          <w:p>
            <w:r>
              <w:rPr>
                <w:b w:val="false"/>
                <w:bCs w:val="false"/>
                <w:color w:val="111111"/>
                <w:sz w:val="20"/>
                <w:szCs w:val="20"/>
              </w:rPr>
              <w:t xml:space="preserve">v3.4</w:t>
            </w:r>
          </w:p>
        </w:tc>
        <w:tc>
          <w:tcPr>
            <w:tcW w:type="dxa" w:w="1400"/>
            <w:shd w:fill="F8FAFC" w:val="clear"/>
            <w:tcMar>
              <w:top w:type="dxa" w:w="80"/>
              <w:left w:type="dxa" w:w="120"/>
              <w:bottom w:type="dxa" w:w="80"/>
              <w:right w:type="dxa" w:w="120"/>
            </w:tcMar>
          </w:tcPr>
          <w:p>
            <w:r>
              <w:rPr>
                <w:b w:val="false"/>
                <w:bCs w:val="false"/>
                <w:color w:val="111111"/>
                <w:sz w:val="20"/>
                <w:szCs w:val="20"/>
              </w:rPr>
              <w:t xml:space="preserve">September 2026</w:t>
            </w:r>
          </w:p>
        </w:tc>
        <w:tc>
          <w:tcPr>
            <w:tcW w:type="dxa" w:w="6500"/>
            <w:shd w:fill="F8FAFC" w:val="clear"/>
            <w:tcMar>
              <w:top w:type="dxa" w:w="80"/>
              <w:left w:type="dxa" w:w="120"/>
              <w:bottom w:type="dxa" w:w="80"/>
              <w:right w:type="dxa" w:w="120"/>
            </w:tcMar>
          </w:tcPr>
          <w:p>
            <w:r>
              <w:rPr>
                <w:b w:val="false"/>
                <w:bCs w:val="false"/>
                <w:color w:val="111111"/>
                <w:sz w:val="20"/>
                <w:szCs w:val="20"/>
              </w:rPr>
              <w:t xml:space="preserve">Introduced Admin-Seeded Trade Profiles — manually curated, unclaimed directory listings that accelerate directory density ahead of organic sign-up — new section 2.7, new section 4.9 (seeding workflow, claim flow, reminder cadence), new Trust &amp; Safety section 7.6 (data handling, legal-review flag), new route /claim/[token], new admin route /admin/seeded-profiles. Rewrote section 9 as “Demo Content &amp; Directory Density Rules,” introducing a unified density cascade (real → seeded → demo) with a 3-result density threshold per trade category and district, replacing the binary “demo shown only if zero real results” rule. Updated section 5.3, 5.4, and 8 to reflect the cascade and the new unclaimed-listing signal. Added a v3.4 note to section 1.2 clarifying that seeded listings do not weaken the self-selection principle provided the unclaimed label stays permanent and unmissable.</w:t>
            </w:r>
          </w:p>
        </w:tc>
      </w:tr>
    </w:tbl>
    <w:p>
      <w:pPr>
        <w:spacing w:before="300"/>
        <w:jc w:val="center"/>
      </w:pPr>
      <w:r>
        <w:rPr>
          <w:i/>
          <w:iCs/>
          <w:color w:val="6B7280"/>
          <w:sz w:val="18"/>
          <w:szCs w:val="18"/>
        </w:rPr>
        <w:t xml:space="preserve">WorkedWith · workedwith.co.uk · hello@workedwith.co.uk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2937"/>
      <w:sz w:val="30"/>
      <w:szCs w:val="30"/>
    </w:rPr>
  </w:style>
  <w:style w:type="paragraph" w:styleId="Heading2">
    <w:name w:val="Heading 2"/>
    <w:basedOn w:val="Normal"/>
    <w:next w:val="Normal"/>
    <w:qFormat/>
    <w:pPr>
      <w:spacing w:after="120" w:before="260"/>
      <w:outlineLvl w:val="1"/>
    </w:pPr>
    <w:rPr>
      <w:b/>
      <w:bCs/>
      <w:color w:val="2563EB"/>
      <w:sz w:val="25"/>
      <w:szCs w:val="25"/>
    </w:rPr>
  </w:style>
  <w:style w:type="paragraph" w:styleId="Heading3">
    <w:name w:val="Heading 3"/>
    <w:basedOn w:val="Normal"/>
    <w:next w:val="Normal"/>
    <w:qFormat/>
    <w:pPr>
      <w:spacing w:after="100" w:before="200"/>
      <w:outlineLvl w:val="2"/>
    </w:pPr>
    <w:rPr>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2026-09-23T15:36:30.450Z</dcterms:created>
  <dcterms:modified xsi:type="dcterms:W3CDTF">2026-09-23T15:36:30.461Z</dcterms:modified>
</cp:coreProperties>
</file>

<file path=docProps/custom.xml><?xml version="1.0" encoding="utf-8"?>
<Properties xmlns="http://schemas.openxmlformats.org/officeDocument/2006/custom-properties" xmlns:vt="http://schemas.openxmlformats.org/officeDocument/2006/docPropsVTypes"/>
</file>