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Contract Addendum</w:t>
      </w:r>
    </w:p>
    <w:p>
      <w:r>
        <w:t>This addendum modifies the payment terms of the original Service Agreement between Northwind Analytics and Solstice Retail Group.</w:t>
      </w:r>
    </w:p>
    <w:p>
      <w:pPr>
        <w:pStyle w:val="Heading2"/>
      </w:pPr>
      <w:r>
        <w:t>Revised Payment Terms</w:t>
      </w:r>
    </w:p>
    <w:p>
      <w:r>
        <w:t>Effective April 1, 2026, the monthly fee is increased to $21,000, payable within ten (10) days of invoice.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Fee</w:t>
            </w:r>
          </w:p>
        </w:tc>
      </w:tr>
      <w:tr>
        <w:tc>
          <w:tcPr>
            <w:tcW w:type="dxa" w:w="4320"/>
          </w:tcPr>
          <w:p>
            <w:r>
              <w:t>April 2026</w:t>
            </w:r>
          </w:p>
        </w:tc>
        <w:tc>
          <w:tcPr>
            <w:tcW w:type="dxa" w:w="4320"/>
          </w:tcPr>
          <w:p>
            <w:r>
              <w:t>$21,000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