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A315D2" wp14:editId="6288F0CE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:rsidTr="00493779">
        <w:tc>
          <w:tcPr>
            <w:tcW w:w="567" w:type="dxa"/>
          </w:tcPr>
          <w:p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A08CF" wp14:editId="1CF0AA1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4F5" w:rsidRPr="00363E6A" w:rsidRDefault="008F74F5">
          <w:pPr>
            <w:pStyle w:val="Nagwekspisutreci"/>
            <w:rPr>
              <w:sz w:val="28"/>
              <w:szCs w:val="28"/>
            </w:rPr>
          </w:pPr>
        </w:p>
        <w:p w:rsidR="00363E6A" w:rsidRPr="00363E6A" w:rsidRDefault="008F74F5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r w:rsidRPr="00363E6A">
            <w:rPr>
              <w:bCs/>
            </w:rPr>
            <w:fldChar w:fldCharType="begin"/>
          </w:r>
          <w:r w:rsidRPr="00363E6A">
            <w:rPr>
              <w:bCs/>
            </w:rPr>
            <w:instrText xml:space="preserve"> TOC \o "1-3" \h \z \u </w:instrText>
          </w:r>
          <w:r w:rsidRPr="00363E6A">
            <w:rPr>
              <w:bCs/>
            </w:rPr>
            <w:fldChar w:fldCharType="separate"/>
          </w:r>
          <w:hyperlink w:anchor="_Toc531347584" w:history="1">
            <w:r w:rsidR="00363E6A" w:rsidRPr="00363E6A">
              <w:rPr>
                <w:rStyle w:val="Hipercze"/>
              </w:rPr>
              <w:t>Wymagania funkcjonalne: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_Toc531347584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3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BE2F77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5" w:history="1">
            <w:r w:rsidR="00363E6A" w:rsidRPr="00363E6A">
              <w:rPr>
                <w:rStyle w:val="Hipercze"/>
              </w:rPr>
              <w:t>Wymagania niefunkcjonalne: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_Toc531347585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4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BE2F77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6" w:history="1">
            <w:r w:rsidR="00363E6A" w:rsidRPr="00363E6A">
              <w:rPr>
                <w:rStyle w:val="Hipercze"/>
              </w:rPr>
              <w:t>Słownik pojęć: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_Toc531347586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4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BE2F77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7" w:history="1">
            <w:r w:rsidR="00363E6A" w:rsidRPr="00363E6A">
              <w:rPr>
                <w:rStyle w:val="Hipercze"/>
              </w:rPr>
              <w:t>Opis/specyfikacja: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_Toc531347587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6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BE2F77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8" w:history="1">
            <w:r w:rsidR="00363E6A" w:rsidRPr="00363E6A">
              <w:rPr>
                <w:rStyle w:val="Hipercze"/>
              </w:rPr>
              <w:t>Technologie: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_Toc531347588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7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BE2F77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9" w:history="1">
            <w:r w:rsidR="00363E6A" w:rsidRPr="00363E6A">
              <w:rPr>
                <w:rStyle w:val="Hipercze"/>
              </w:rPr>
              <w:t>Model konceptualny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_Toc531347589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8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BE2F77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90" w:history="1">
            <w:r w:rsidR="00363E6A" w:rsidRPr="00363E6A">
              <w:rPr>
                <w:rStyle w:val="Hipercze"/>
              </w:rPr>
              <w:t>Model logiczny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_Toc531347590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9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BE2F77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91" w:history="1">
            <w:r w:rsidR="00363E6A" w:rsidRPr="00363E6A">
              <w:rPr>
                <w:rStyle w:val="Hipercze"/>
              </w:rPr>
              <w:t>Model relacyjny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_Toc531347591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11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8F74F5" w:rsidRPr="00362619" w:rsidRDefault="008F74F5" w:rsidP="00362619">
          <w:r w:rsidRPr="00363E6A">
            <w:rPr>
              <w:bCs/>
              <w:sz w:val="28"/>
              <w:szCs w:val="28"/>
            </w:rPr>
            <w:fldChar w:fldCharType="end"/>
          </w:r>
        </w:p>
      </w:sdtContent>
    </w:sdt>
    <w:p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531347584"/>
    <w:p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7A16D" wp14:editId="14C8BEF2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0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 w:rsidR="00152720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:rsidTr="00685107">
        <w:trPr>
          <w:trHeight w:val="438"/>
        </w:trPr>
        <w:tc>
          <w:tcPr>
            <w:tcW w:w="710" w:type="dxa"/>
          </w:tcPr>
          <w:p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:rsidTr="00265AA0">
        <w:tc>
          <w:tcPr>
            <w:tcW w:w="710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:rsidTr="00265AA0">
        <w:trPr>
          <w:trHeight w:val="438"/>
        </w:trPr>
        <w:tc>
          <w:tcPr>
            <w:tcW w:w="710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:rsidTr="00265AA0">
        <w:tc>
          <w:tcPr>
            <w:tcW w:w="710" w:type="dxa"/>
          </w:tcPr>
          <w:p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bookmarkStart w:id="1" w:name="_Toc531347585"/>
    <w:p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E9D3BA" wp14:editId="036C765E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Zastosowanie podczas logowania kodowania haseł. Hasła w bazie danych przechowywane w formie zakodowanej wraz z solą [salt].</w:t>
            </w:r>
          </w:p>
        </w:tc>
      </w:tr>
    </w:tbl>
    <w:p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2" w:name="_Toc531347586"/>
    <w:p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9D3BA" wp14:editId="036C765E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:rsidTr="00D11CE9">
        <w:trPr>
          <w:trHeight w:val="438"/>
        </w:trPr>
        <w:tc>
          <w:tcPr>
            <w:tcW w:w="1843" w:type="dxa"/>
          </w:tcPr>
          <w:p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:rsidTr="00D11CE9">
        <w:trPr>
          <w:trHeight w:val="438"/>
        </w:trPr>
        <w:tc>
          <w:tcPr>
            <w:tcW w:w="1843" w:type="dxa"/>
          </w:tcPr>
          <w:p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:rsidTr="00D11CE9">
        <w:tc>
          <w:tcPr>
            <w:tcW w:w="1843" w:type="dxa"/>
          </w:tcPr>
          <w:p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3" w:name="_Toc531347587"/>
    <w:p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FED745" wp14:editId="2A955D4A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3"/>
      <w:r w:rsidR="00D50D0B" w:rsidRPr="00362619">
        <w:rPr>
          <w:sz w:val="32"/>
          <w:szCs w:val="32"/>
        </w:rPr>
        <w:t xml:space="preserve"> </w:t>
      </w:r>
    </w:p>
    <w:p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4" w:name="_gjdgxs" w:colFirst="0" w:colLast="0"/>
      <w:bookmarkEnd w:id="4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5" w:name="_Toc531347588"/>
    <w:p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ED745" wp14:editId="2A955D4A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5"/>
      <w:r w:rsidR="00D50D0B" w:rsidRPr="00362619">
        <w:rPr>
          <w:sz w:val="32"/>
          <w:szCs w:val="32"/>
        </w:rPr>
        <w:t xml:space="preserve"> 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:rsidR="00ED236A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6" w:name="_Toc531347589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25A86" wp14:editId="01079AC1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6"/>
    </w:p>
    <w:p w:rsidR="00711337" w:rsidRPr="00711337" w:rsidRDefault="00711337" w:rsidP="00711337">
      <w:pPr>
        <w:spacing w:after="120" w:line="360" w:lineRule="auto"/>
        <w:rPr>
          <w:sz w:val="24"/>
          <w:szCs w:val="24"/>
        </w:rPr>
      </w:pPr>
      <w:r w:rsidRPr="00711337">
        <w:rPr>
          <w:sz w:val="24"/>
          <w:szCs w:val="24"/>
        </w:rPr>
        <w:t>Model konceptualny jest reprezentacją graficzną omówionych wyżej założeń: znalazły się w nim wszystkie wspomniane obiekty wraz z odpowiadającymi im atrybutami.</w:t>
      </w:r>
      <w:r>
        <w:rPr>
          <w:sz w:val="24"/>
          <w:szCs w:val="24"/>
        </w:rPr>
        <w:t xml:space="preserve"> Reprezentuje on tworzoną bazę danych</w:t>
      </w:r>
      <w:r w:rsidR="005257FF">
        <w:rPr>
          <w:sz w:val="24"/>
          <w:szCs w:val="24"/>
        </w:rPr>
        <w:t xml:space="preserve">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 xml:space="preserve">w </w:t>
      </w:r>
      <w:r w:rsidR="009A61F5">
        <w:rPr>
          <w:sz w:val="24"/>
          <w:szCs w:val="24"/>
        </w:rPr>
        <w:t>postaci nieznormalizowanej</w:t>
      </w:r>
      <w:r w:rsidR="005257FF">
        <w:rPr>
          <w:sz w:val="24"/>
          <w:szCs w:val="24"/>
        </w:rPr>
        <w:t xml:space="preserve"> – świadczy o tym m. in. </w:t>
      </w:r>
      <w:r w:rsidR="009A61F5">
        <w:rPr>
          <w:sz w:val="24"/>
          <w:szCs w:val="24"/>
        </w:rPr>
        <w:t xml:space="preserve">brak </w:t>
      </w:r>
      <w:r w:rsidR="00100F12">
        <w:rPr>
          <w:sz w:val="24"/>
          <w:szCs w:val="24"/>
        </w:rPr>
        <w:t>atomowoś</w:t>
      </w:r>
      <w:r w:rsidR="009A61F5">
        <w:rPr>
          <w:sz w:val="24"/>
          <w:szCs w:val="24"/>
        </w:rPr>
        <w:t>ci</w:t>
      </w:r>
      <w:r w:rsidR="00100F12">
        <w:rPr>
          <w:sz w:val="24"/>
          <w:szCs w:val="24"/>
        </w:rPr>
        <w:t xml:space="preserve"> danych (przykładem jest </w:t>
      </w:r>
      <w:bookmarkStart w:id="7" w:name="_GoBack"/>
      <w:bookmarkEnd w:id="7"/>
      <w:r w:rsidR="00100F12">
        <w:rPr>
          <w:sz w:val="24"/>
          <w:szCs w:val="24"/>
        </w:rPr>
        <w:t xml:space="preserve">tu podanie atrybutów kompozytowych powiązanych z </w:t>
      </w:r>
      <w:r w:rsidR="00100F12">
        <w:rPr>
          <w:b/>
          <w:sz w:val="24"/>
          <w:szCs w:val="24"/>
        </w:rPr>
        <w:t>Danymi do logowania</w:t>
      </w:r>
      <w:r w:rsidR="00100F12">
        <w:rPr>
          <w:sz w:val="24"/>
          <w:szCs w:val="24"/>
        </w:rPr>
        <w:t xml:space="preserve"> czy </w:t>
      </w:r>
      <w:r w:rsidR="00100F12">
        <w:rPr>
          <w:b/>
          <w:sz w:val="24"/>
          <w:szCs w:val="24"/>
        </w:rPr>
        <w:t>Stanowiskiem</w:t>
      </w:r>
      <w:r w:rsidR="00100F12">
        <w:rPr>
          <w:sz w:val="24"/>
          <w:szCs w:val="24"/>
        </w:rPr>
        <w:t>)</w:t>
      </w:r>
      <w:r w:rsidR="005257FF">
        <w:rPr>
          <w:sz w:val="24"/>
          <w:szCs w:val="24"/>
        </w:rPr>
        <w:t>. Normalizacja będzie przeprowadzana</w:t>
      </w:r>
      <w:r w:rsidR="00100F12">
        <w:rPr>
          <w:sz w:val="24"/>
          <w:szCs w:val="24"/>
        </w:rPr>
        <w:t xml:space="preserve"> </w:t>
      </w:r>
      <w:r w:rsidR="005257FF">
        <w:rPr>
          <w:sz w:val="24"/>
          <w:szCs w:val="24"/>
        </w:rPr>
        <w:t xml:space="preserve">w miarę tworzenia kolejnych modeli, gdzie też zdecydujemy,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>na którym jej etapie się zatrzymamy.</w:t>
      </w:r>
    </w:p>
    <w:p w:rsidR="00122A5C" w:rsidRDefault="00363E6A" w:rsidP="00122A5C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140" cy="83248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8" w:name="_Toc531347590"/>
    <w:p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FCBA" wp14:editId="71501F3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8"/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</w:t>
      </w:r>
      <w:r w:rsidR="006E2A6A">
        <w:rPr>
          <w:rFonts w:asciiTheme="majorHAnsi" w:hAnsiTheme="majorHAnsi" w:cstheme="majorHAnsi"/>
          <w:sz w:val="24"/>
          <w:szCs w:val="24"/>
        </w:rPr>
        <w:t>trzema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="006E2A6A">
        <w:rPr>
          <w:rFonts w:asciiTheme="majorHAnsi" w:hAnsiTheme="majorHAnsi" w:cstheme="majorHAnsi"/>
          <w:sz w:val="24"/>
          <w:szCs w:val="24"/>
        </w:rPr>
        <w:t xml:space="preserve"> (nowo utworzone obiekty mogą ich nie mieć</w:t>
      </w:r>
      <w:r w:rsidR="0053402A">
        <w:rPr>
          <w:rFonts w:asciiTheme="majorHAnsi" w:hAnsiTheme="majorHAnsi" w:cstheme="majorHAnsi"/>
          <w:sz w:val="24"/>
          <w:szCs w:val="24"/>
        </w:rPr>
        <w:t>)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6E2A6A" w:rsidRDefault="002B5723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6E2A6A" w:rsidRPr="003F6D77" w:rsidRDefault="006E2A6A" w:rsidP="006E2A6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Encja </w:t>
      </w:r>
      <w:r>
        <w:rPr>
          <w:rFonts w:asciiTheme="majorHAnsi" w:hAnsiTheme="majorHAnsi" w:cstheme="majorHAnsi"/>
          <w:b/>
          <w:sz w:val="24"/>
          <w:szCs w:val="24"/>
        </w:rPr>
        <w:t>Usługa</w:t>
      </w:r>
      <w:r>
        <w:rPr>
          <w:rFonts w:asciiTheme="majorHAnsi" w:hAnsiTheme="majorHAnsi" w:cstheme="majorHAnsi"/>
          <w:sz w:val="24"/>
          <w:szCs w:val="24"/>
        </w:rPr>
        <w:t xml:space="preserve"> składa się natomiast z </w:t>
      </w:r>
      <w:r>
        <w:rPr>
          <w:rFonts w:asciiTheme="majorHAnsi" w:hAnsiTheme="majorHAnsi" w:cstheme="majorHAnsi"/>
          <w:sz w:val="24"/>
          <w:szCs w:val="24"/>
        </w:rPr>
        <w:t xml:space="preserve">dwóch podtypów: </w:t>
      </w:r>
      <w:r>
        <w:rPr>
          <w:rFonts w:asciiTheme="majorHAnsi" w:hAnsiTheme="majorHAnsi" w:cstheme="majorHAnsi"/>
          <w:b/>
          <w:sz w:val="24"/>
          <w:szCs w:val="24"/>
        </w:rPr>
        <w:t xml:space="preserve">Lokalna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. W tym przypadku na szczególną uwagę zasługuje podtyp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 połączony relacją z </w:t>
      </w:r>
      <w:r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Lekcją pływania</w:t>
      </w:r>
      <w:r>
        <w:rPr>
          <w:rFonts w:asciiTheme="majorHAnsi" w:hAnsiTheme="majorHAnsi" w:cstheme="majorHAnsi"/>
          <w:sz w:val="24"/>
          <w:szCs w:val="24"/>
        </w:rPr>
        <w:t>, gdzie są przechowywane szczegółowe informacje na temat tych rodzajów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sz w:val="24"/>
          <w:szCs w:val="24"/>
        </w:rPr>
        <w:t>usług</w:t>
      </w:r>
      <w:r>
        <w:rPr>
          <w:rFonts w:asciiTheme="majorHAnsi" w:hAnsiTheme="majorHAnsi" w:cstheme="majorHAnsi"/>
          <w:sz w:val="24"/>
          <w:szCs w:val="24"/>
        </w:rPr>
        <w:t>.</w:t>
      </w:r>
      <w:r w:rsidR="003F6D77">
        <w:rPr>
          <w:rFonts w:asciiTheme="majorHAnsi" w:hAnsiTheme="majorHAnsi" w:cstheme="majorHAnsi"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Rezerwacja toru </w:t>
      </w:r>
      <w:r w:rsidR="003F6D77">
        <w:rPr>
          <w:rFonts w:asciiTheme="majorHAnsi" w:hAnsiTheme="majorHAnsi" w:cstheme="majorHAnsi"/>
          <w:sz w:val="24"/>
          <w:szCs w:val="24"/>
        </w:rPr>
        <w:t xml:space="preserve">i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Lekcja pływania </w:t>
      </w:r>
      <w:r w:rsidR="003F6D77">
        <w:rPr>
          <w:rFonts w:asciiTheme="majorHAnsi" w:hAnsiTheme="majorHAnsi" w:cstheme="majorHAnsi"/>
          <w:sz w:val="24"/>
          <w:szCs w:val="24"/>
        </w:rPr>
        <w:t xml:space="preserve">są z kolei połączone związkiem z </w:t>
      </w:r>
      <w:r w:rsidR="003F6D77">
        <w:rPr>
          <w:rFonts w:asciiTheme="majorHAnsi" w:hAnsiTheme="majorHAnsi" w:cstheme="majorHAnsi"/>
          <w:b/>
          <w:sz w:val="24"/>
          <w:szCs w:val="24"/>
        </w:rPr>
        <w:t>Klientem</w:t>
      </w:r>
      <w:r w:rsidR="003F6D77">
        <w:rPr>
          <w:rFonts w:asciiTheme="majorHAnsi" w:hAnsiTheme="majorHAnsi" w:cstheme="majorHAnsi"/>
          <w:sz w:val="24"/>
          <w:szCs w:val="24"/>
        </w:rPr>
        <w:t>, jako że są to usługi personalizowane.</w:t>
      </w:r>
    </w:p>
    <w:p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  <w:r w:rsidR="006E2A6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53171A" w:rsidRDefault="00100F12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modelu logicznym wdrożon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został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normalizacj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bazy danych. </w:t>
      </w:r>
      <w:r w:rsidR="0053402A">
        <w:rPr>
          <w:rFonts w:asciiTheme="majorHAnsi" w:hAnsiTheme="majorHAnsi" w:cstheme="majorHAnsi"/>
          <w:sz w:val="24"/>
          <w:szCs w:val="24"/>
        </w:rPr>
        <w:t xml:space="preserve">Przejście do pierwszej postaci normalnej polegało przede wszystkim na wprowadzeniu atomowości danych (podział 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Danych do logowania </w:t>
      </w:r>
      <w:r w:rsidR="0053402A">
        <w:rPr>
          <w:rFonts w:asciiTheme="majorHAnsi" w:hAnsiTheme="majorHAnsi" w:cstheme="majorHAnsi"/>
          <w:b/>
          <w:sz w:val="24"/>
          <w:szCs w:val="24"/>
        </w:rPr>
        <w:br/>
      </w:r>
      <w:r w:rsidR="0053402A">
        <w:rPr>
          <w:rFonts w:asciiTheme="majorHAnsi" w:hAnsiTheme="majorHAnsi" w:cstheme="majorHAnsi"/>
          <w:sz w:val="24"/>
          <w:szCs w:val="24"/>
        </w:rPr>
        <w:t xml:space="preserve">i </w:t>
      </w:r>
      <w:r w:rsidR="0053402A" w:rsidRPr="0053402A">
        <w:rPr>
          <w:rFonts w:asciiTheme="majorHAnsi" w:hAnsiTheme="majorHAnsi" w:cstheme="majorHAnsi"/>
          <w:b/>
          <w:sz w:val="24"/>
          <w:szCs w:val="24"/>
        </w:rPr>
        <w:t>Stanowiska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t>na atrybuty odpowiadające ich atrybutom kompozytowym z modelu konceptualnego).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3402A">
        <w:rPr>
          <w:rFonts w:asciiTheme="majorHAnsi" w:hAnsiTheme="majorHAnsi" w:cstheme="majorHAnsi"/>
          <w:sz w:val="24"/>
          <w:szCs w:val="24"/>
        </w:rPr>
        <w:t>Przejście</w:t>
      </w:r>
      <w:r>
        <w:rPr>
          <w:rFonts w:asciiTheme="majorHAnsi" w:hAnsiTheme="majorHAnsi" w:cstheme="majorHAnsi"/>
          <w:sz w:val="24"/>
          <w:szCs w:val="24"/>
        </w:rPr>
        <w:t xml:space="preserve"> do drugiej postaci normalnej objawiło się </w:t>
      </w:r>
      <w:r w:rsidR="0053171A" w:rsidRPr="0053171A">
        <w:rPr>
          <w:rFonts w:asciiTheme="majorHAnsi" w:hAnsiTheme="majorHAnsi" w:cstheme="majorHAnsi"/>
          <w:sz w:val="24"/>
          <w:szCs w:val="24"/>
        </w:rPr>
        <w:t>wyróżnienie</w:t>
      </w:r>
      <w:r>
        <w:rPr>
          <w:rFonts w:asciiTheme="majorHAnsi" w:hAnsiTheme="majorHAnsi" w:cstheme="majorHAnsi"/>
          <w:sz w:val="24"/>
          <w:szCs w:val="24"/>
        </w:rPr>
        <w:t>m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nowych encji: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(poszczególne stanowiska mogą się powtarzać wśród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Pracowników</w:t>
      </w:r>
      <w:r w:rsidR="00744CB1">
        <w:rPr>
          <w:rFonts w:asciiTheme="majorHAnsi" w:hAnsiTheme="majorHAnsi" w:cstheme="majorHAnsi"/>
          <w:sz w:val="24"/>
          <w:szCs w:val="24"/>
        </w:rPr>
        <w:t>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(nie wszyscy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Pracownicy</w:t>
      </w:r>
      <w:r w:rsidR="00744CB1">
        <w:rPr>
          <w:rFonts w:asciiTheme="majorHAnsi" w:hAnsiTheme="majorHAnsi" w:cstheme="majorHAnsi"/>
          <w:sz w:val="24"/>
          <w:szCs w:val="24"/>
        </w:rPr>
        <w:t xml:space="preserve"> posiadają dostęp do bazy danych)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="00744CB1">
        <w:rPr>
          <w:rFonts w:asciiTheme="majorHAnsi" w:hAnsiTheme="majorHAnsi" w:cstheme="majorHAnsi"/>
          <w:sz w:val="24"/>
          <w:szCs w:val="24"/>
        </w:rPr>
        <w:t xml:space="preserve">Przejście do trzeciej postaci normalnej okazało się natomiast zbyteczne, gdyż w naszym modelu </w:t>
      </w:r>
      <w:r w:rsidR="00744CB1" w:rsidRPr="00744CB1">
        <w:rPr>
          <w:rFonts w:asciiTheme="majorHAnsi" w:hAnsiTheme="majorHAnsi" w:cstheme="majorHAnsi"/>
          <w:sz w:val="24"/>
          <w:szCs w:val="24"/>
        </w:rPr>
        <w:t xml:space="preserve">każdy niekluczowy argument jest bezpośrednio zależny tylko od klucza głównego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="00744CB1" w:rsidRPr="00744CB1">
        <w:rPr>
          <w:rFonts w:asciiTheme="majorHAnsi" w:hAnsiTheme="majorHAnsi" w:cstheme="majorHAnsi"/>
          <w:sz w:val="24"/>
          <w:szCs w:val="24"/>
        </w:rPr>
        <w:t>a nie od innej kolumny</w:t>
      </w:r>
      <w:r w:rsidR="00744CB1">
        <w:rPr>
          <w:rFonts w:asciiTheme="majorHAnsi" w:hAnsiTheme="majorHAnsi" w:cstheme="majorHAnsi"/>
          <w:sz w:val="24"/>
          <w:szCs w:val="24"/>
        </w:rPr>
        <w:t>, co definiuje 3NF</w:t>
      </w:r>
      <w:r w:rsidR="00744CB1" w:rsidRPr="00744CB1">
        <w:rPr>
          <w:rFonts w:asciiTheme="majorHAnsi" w:hAnsiTheme="majorHAnsi" w:cstheme="majorHAnsi"/>
          <w:sz w:val="24"/>
          <w:szCs w:val="24"/>
        </w:rPr>
        <w:t>.</w:t>
      </w:r>
      <w:r w:rsidR="00744CB1">
        <w:rPr>
          <w:rFonts w:asciiTheme="majorHAnsi" w:hAnsiTheme="majorHAnsi" w:cstheme="majorHAnsi"/>
          <w:sz w:val="24"/>
          <w:szCs w:val="24"/>
        </w:rPr>
        <w:t xml:space="preserve"> Ostatecznie więc zatrzymaliśmy się na trzecim etapie normalizacji.</w:t>
      </w:r>
    </w:p>
    <w:p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C21F37">
        <w:rPr>
          <w:noProof/>
        </w:rPr>
        <w:lastRenderedPageBreak/>
        <w:drawing>
          <wp:inline distT="0" distB="0" distL="0" distR="0" wp14:anchorId="38DA00A4" wp14:editId="7BC0377F">
            <wp:extent cx="8831037" cy="4460241"/>
            <wp:effectExtent l="0" t="5397" r="2857" b="2858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7857" cy="44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9" w:name="_Toc531347591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4FCBA" wp14:editId="71501F3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9"/>
    </w:p>
    <w:p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tworzenia żadnych dodatkowych relacji. Jedynie encja „osoba” nie została transformowana na relację, gdyż z założenia miało nie być instancji tej encji nadrzędnej.</w:t>
      </w:r>
    </w:p>
    <w:p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do klucza obcego w tabeli „Dane do logowania”. </w:t>
      </w:r>
    </w:p>
    <w:p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085"/>
        <w:gridCol w:w="4672"/>
        <w:gridCol w:w="3591"/>
      </w:tblGrid>
      <w:tr w:rsidR="002B5723" w:rsidTr="002B5723">
        <w:tc>
          <w:tcPr>
            <w:tcW w:w="2145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Rezerwacja toru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Dane do logowania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(w tym indeks założony na tę kolumnę)</w:t>
            </w:r>
          </w:p>
        </w:tc>
      </w:tr>
    </w:tbl>
    <w:p w:rsidR="00ED236A" w:rsidRDefault="00ED236A" w:rsidP="002B5723"/>
    <w:p w:rsidR="0053171A" w:rsidRPr="002B5723" w:rsidRDefault="00ED236A" w:rsidP="004B14AF">
      <w:pPr>
        <w:jc w:val="center"/>
      </w:pPr>
      <w:r>
        <w:br w:type="column"/>
      </w:r>
      <w:r w:rsidR="004B14AF">
        <w:rPr>
          <w:noProof/>
        </w:rPr>
        <w:lastRenderedPageBreak/>
        <w:drawing>
          <wp:inline distT="0" distB="0" distL="0" distR="0" wp14:anchorId="70E0249B" wp14:editId="25C22E57">
            <wp:extent cx="8887191" cy="4199890"/>
            <wp:effectExtent l="318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6007" cy="42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F77" w:rsidRDefault="00BE2F77" w:rsidP="004A5EC4">
      <w:pPr>
        <w:spacing w:after="0" w:line="240" w:lineRule="auto"/>
      </w:pPr>
      <w:r>
        <w:separator/>
      </w:r>
    </w:p>
  </w:endnote>
  <w:endnote w:type="continuationSeparator" w:id="0">
    <w:p w:rsidR="00BE2F77" w:rsidRDefault="00BE2F77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5835307"/>
      <w:docPartObj>
        <w:docPartGallery w:val="Page Numbers (Bottom of Page)"/>
        <w:docPartUnique/>
      </w:docPartObj>
    </w:sdtPr>
    <w:sdtEndPr/>
    <w:sdtContent>
      <w:p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E6A">
          <w:rPr>
            <w:noProof/>
          </w:rPr>
          <w:t>12</w:t>
        </w:r>
        <w:r>
          <w:fldChar w:fldCharType="end"/>
        </w:r>
      </w:p>
    </w:sdtContent>
  </w:sdt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F77" w:rsidRDefault="00BE2F77" w:rsidP="004A5EC4">
      <w:pPr>
        <w:spacing w:after="0" w:line="240" w:lineRule="auto"/>
      </w:pPr>
      <w:r>
        <w:separator/>
      </w:r>
    </w:p>
  </w:footnote>
  <w:footnote w:type="continuationSeparator" w:id="0">
    <w:p w:rsidR="00BE2F77" w:rsidRDefault="00BE2F77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DD"/>
    <w:rsid w:val="000A7AA0"/>
    <w:rsid w:val="00100F12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57107"/>
    <w:rsid w:val="00362619"/>
    <w:rsid w:val="00363E6A"/>
    <w:rsid w:val="00386431"/>
    <w:rsid w:val="003E619F"/>
    <w:rsid w:val="003F5BBD"/>
    <w:rsid w:val="003F6D77"/>
    <w:rsid w:val="00493779"/>
    <w:rsid w:val="004A5EC4"/>
    <w:rsid w:val="004B14AF"/>
    <w:rsid w:val="004B42B7"/>
    <w:rsid w:val="00523C36"/>
    <w:rsid w:val="005257FF"/>
    <w:rsid w:val="0053171A"/>
    <w:rsid w:val="0053402A"/>
    <w:rsid w:val="005C79D6"/>
    <w:rsid w:val="00612E25"/>
    <w:rsid w:val="006175AE"/>
    <w:rsid w:val="00634226"/>
    <w:rsid w:val="006970AC"/>
    <w:rsid w:val="006E2A6A"/>
    <w:rsid w:val="006E4A58"/>
    <w:rsid w:val="00711337"/>
    <w:rsid w:val="00744CB1"/>
    <w:rsid w:val="007E333F"/>
    <w:rsid w:val="0081755F"/>
    <w:rsid w:val="0088669B"/>
    <w:rsid w:val="008C6A4B"/>
    <w:rsid w:val="008F74F5"/>
    <w:rsid w:val="009910AA"/>
    <w:rsid w:val="00994CE1"/>
    <w:rsid w:val="009A61F5"/>
    <w:rsid w:val="00A313BA"/>
    <w:rsid w:val="00A919E0"/>
    <w:rsid w:val="00AC6E50"/>
    <w:rsid w:val="00AF2C0A"/>
    <w:rsid w:val="00BC2ED2"/>
    <w:rsid w:val="00BD77E1"/>
    <w:rsid w:val="00BE2F77"/>
    <w:rsid w:val="00BF25B4"/>
    <w:rsid w:val="00C21F37"/>
    <w:rsid w:val="00C31EC1"/>
    <w:rsid w:val="00D11CE9"/>
    <w:rsid w:val="00D40A60"/>
    <w:rsid w:val="00D50D0B"/>
    <w:rsid w:val="00D62D57"/>
    <w:rsid w:val="00E049DF"/>
    <w:rsid w:val="00E20921"/>
    <w:rsid w:val="00E46816"/>
    <w:rsid w:val="00E51BE8"/>
    <w:rsid w:val="00E5674B"/>
    <w:rsid w:val="00E7494E"/>
    <w:rsid w:val="00EA04DD"/>
    <w:rsid w:val="00EC371F"/>
    <w:rsid w:val="00ED236A"/>
    <w:rsid w:val="00F131A8"/>
    <w:rsid w:val="00F166DD"/>
    <w:rsid w:val="00F61E8F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81FF4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3E6A"/>
    <w:pPr>
      <w:tabs>
        <w:tab w:val="right" w:leader="dot" w:pos="10456"/>
      </w:tabs>
      <w:spacing w:after="100"/>
    </w:pPr>
    <w:rPr>
      <w:b/>
      <w:noProof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B7C3D-5EC5-4167-9E2E-87D357C7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13</Pages>
  <Words>2227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Lipski Kamil (283689)</cp:lastModifiedBy>
  <cp:revision>15</cp:revision>
  <dcterms:created xsi:type="dcterms:W3CDTF">2018-11-26T20:39:00Z</dcterms:created>
  <dcterms:modified xsi:type="dcterms:W3CDTF">2018-11-30T19:58:00Z</dcterms:modified>
</cp:coreProperties>
</file>