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4F5" w:rsidRPr="00122A5C" w:rsidRDefault="008F74F5">
          <w:pPr>
            <w:pStyle w:val="Nagwekspisutreci"/>
            <w:rPr>
              <w:b/>
              <w:sz w:val="24"/>
              <w:szCs w:val="24"/>
            </w:rPr>
          </w:pPr>
        </w:p>
        <w:p w:rsidR="00122A5C" w:rsidRPr="00122A5C" w:rsidRDefault="008F74F5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r w:rsidRPr="00122A5C">
            <w:rPr>
              <w:b/>
              <w:bCs/>
              <w:sz w:val="24"/>
              <w:szCs w:val="24"/>
            </w:rPr>
            <w:fldChar w:fldCharType="begin"/>
          </w:r>
          <w:r w:rsidRPr="00122A5C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122A5C">
            <w:rPr>
              <w:b/>
              <w:bCs/>
              <w:sz w:val="24"/>
              <w:szCs w:val="24"/>
            </w:rPr>
            <w:fldChar w:fldCharType="separate"/>
          </w:r>
          <w:hyperlink w:anchor="_Toc531281915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Wymagania funkcjonalne: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_Toc531281915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3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6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Wymagania niefunkcjonalne: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_Toc531281916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4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7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Słownik pojęć: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_Toc531281917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4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8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Opis/specyfikacja: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_Toc531281918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6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9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Technologie: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_Toc531281919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7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0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Model konceptualny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_Toc531281920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8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1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Model logiczny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_Toc531281921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9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357107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2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Model relacyjny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_Toc531281922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11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4F5" w:rsidRPr="00362619" w:rsidRDefault="008F74F5" w:rsidP="00362619">
          <w:r w:rsidRPr="00122A5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281915"/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:rsidTr="00265AA0">
        <w:trPr>
          <w:trHeight w:val="438"/>
        </w:trPr>
        <w:tc>
          <w:tcPr>
            <w:tcW w:w="710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:rsidTr="00265AA0">
        <w:tc>
          <w:tcPr>
            <w:tcW w:w="710" w:type="dxa"/>
          </w:tcPr>
          <w:p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281916"/>
    <w:p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281917"/>
    <w:p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:rsidTr="00D11CE9">
        <w:trPr>
          <w:trHeight w:val="438"/>
        </w:trPr>
        <w:tc>
          <w:tcPr>
            <w:tcW w:w="1843" w:type="dxa"/>
          </w:tcPr>
          <w:p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281918"/>
    <w:p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  <w:bookmarkStart w:id="5" w:name="_GoBack"/>
      <w:bookmarkEnd w:id="5"/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6" w:name="_Toc531281919"/>
    <w:p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6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Pr="00362619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7" w:name="_Toc531281920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7"/>
    </w:p>
    <w:p w:rsidR="00122A5C" w:rsidRDefault="00122A5C" w:rsidP="00122A5C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6637655" cy="7706360"/>
            <wp:effectExtent l="0" t="0" r="0" b="889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8" w:name="_Toc531281921"/>
    <w:p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8"/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aż czterema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Rezerwacja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b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Rezerwacje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 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W przypadku encji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</w:t>
      </w:r>
      <w:r w:rsidRPr="0053171A">
        <w:rPr>
          <w:rFonts w:asciiTheme="majorHAnsi" w:hAnsiTheme="majorHAnsi" w:cstheme="majorHAnsi"/>
          <w:sz w:val="24"/>
          <w:szCs w:val="24"/>
        </w:rPr>
        <w:t xml:space="preserve">, jest ona połączona relacjami z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Transakcją</w:t>
      </w:r>
      <w:r w:rsidRPr="0053171A">
        <w:rPr>
          <w:rFonts w:asciiTheme="majorHAnsi" w:hAnsiTheme="majorHAnsi" w:cstheme="majorHAnsi"/>
          <w:sz w:val="24"/>
          <w:szCs w:val="24"/>
        </w:rPr>
        <w:t xml:space="preserve">, przy czym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na szczególną uwagę zasługuje drugi ze związków – jest to relacja 1:N, obligatoryjna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Otóż zgodnie z dokumentacją,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Klient </w:t>
      </w:r>
      <w:r w:rsidRPr="0053171A">
        <w:rPr>
          <w:rFonts w:asciiTheme="majorHAnsi" w:hAnsiTheme="majorHAnsi" w:cstheme="majorHAnsi"/>
          <w:sz w:val="24"/>
          <w:szCs w:val="24"/>
        </w:rPr>
        <w:t xml:space="preserve">może dokonać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, ale nie każda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 dotyczy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Wynika to z przyjętego założenia, że w bazie zapisywane są dane tylko niektórych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Stąd też </w:t>
      </w:r>
      <w:r w:rsidR="00110ED3">
        <w:rPr>
          <w:rFonts w:asciiTheme="majorHAnsi" w:hAnsiTheme="majorHAnsi" w:cstheme="majorHAnsi"/>
          <w:sz w:val="24"/>
          <w:szCs w:val="24"/>
        </w:rPr>
        <w:t>opcjonalność</w:t>
      </w:r>
      <w:r w:rsidRPr="0053171A">
        <w:rPr>
          <w:rFonts w:asciiTheme="majorHAnsi" w:hAnsiTheme="majorHAnsi" w:cstheme="majorHAnsi"/>
          <w:sz w:val="24"/>
          <w:szCs w:val="24"/>
        </w:rPr>
        <w:t xml:space="preserve"> związku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Zmianą, jaka zaszła w modelu logicznym względem modelu koncepcyjnego jest przede wszystkim wyróżnienie nowych encji: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Poszczególne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Stanowiska</w:t>
      </w:r>
      <w:r w:rsidRPr="0053171A">
        <w:rPr>
          <w:rFonts w:asciiTheme="majorHAnsi" w:hAnsiTheme="majorHAnsi" w:cstheme="majorHAnsi"/>
          <w:sz w:val="24"/>
          <w:szCs w:val="24"/>
        </w:rPr>
        <w:t xml:space="preserve"> mogą się powtarzać wśród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, więc rozsądniej jest utworzyć osobną encję, niż przechowywać (i powielać)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te informacje w atrybutach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Ponadto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 nie będzie miało dostępu do bazy danych – dlatego też utworzona została nowa encja, przechowującą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 tylko tych </w:t>
      </w:r>
      <w:r w:rsidRPr="0053171A">
        <w:rPr>
          <w:rFonts w:asciiTheme="majorHAnsi" w:hAnsiTheme="majorHAnsi" w:cstheme="majorHAnsi"/>
          <w:b/>
          <w:sz w:val="24"/>
          <w:szCs w:val="24"/>
        </w:rPr>
        <w:t>Osób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które dostęp do systemu posiadają. 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0A7AA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1617980</wp:posOffset>
            </wp:positionV>
            <wp:extent cx="8778240" cy="5562600"/>
            <wp:effectExtent l="762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2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9" w:name="_Toc53128192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9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tworzenia żadnych dodatkowych relacji. Jedynie encja „osoba” nie została transformowana na relację, gdyż z założenia miało nie być instancji tej encji nadrzędnej.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do klucza obcego w tabeli „Dane do logowania”.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085"/>
        <w:gridCol w:w="4672"/>
        <w:gridCol w:w="3591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Rezerwacja toru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Dane do logowania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(w tym indeks założony na tę kolumnę)</w:t>
            </w:r>
          </w:p>
        </w:tc>
      </w:tr>
    </w:tbl>
    <w:p w:rsidR="00ED236A" w:rsidRDefault="00ED236A" w:rsidP="002B5723"/>
    <w:p w:rsidR="0053171A" w:rsidRPr="002B5723" w:rsidRDefault="00ED236A" w:rsidP="002B5723">
      <w:r>
        <w:br w:type="column"/>
      </w:r>
      <w:r w:rsidR="000A7AA0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-1160145</wp:posOffset>
            </wp:positionH>
            <wp:positionV relativeFrom="paragraph">
              <wp:posOffset>1410970</wp:posOffset>
            </wp:positionV>
            <wp:extent cx="8889365" cy="6067425"/>
            <wp:effectExtent l="1270" t="0" r="8255" b="8255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latio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936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07" w:rsidRDefault="00357107" w:rsidP="004A5EC4">
      <w:pPr>
        <w:spacing w:after="0" w:line="240" w:lineRule="auto"/>
      </w:pPr>
      <w:r>
        <w:separator/>
      </w:r>
    </w:p>
  </w:endnote>
  <w:endnote w:type="continuationSeparator" w:id="0">
    <w:p w:rsidR="00357107" w:rsidRDefault="00357107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5AE">
          <w:rPr>
            <w:noProof/>
          </w:rPr>
          <w:t>12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07" w:rsidRDefault="00357107" w:rsidP="004A5EC4">
      <w:pPr>
        <w:spacing w:after="0" w:line="240" w:lineRule="auto"/>
      </w:pPr>
      <w:r>
        <w:separator/>
      </w:r>
    </w:p>
  </w:footnote>
  <w:footnote w:type="continuationSeparator" w:id="0">
    <w:p w:rsidR="00357107" w:rsidRDefault="00357107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A7AA0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86431"/>
    <w:rsid w:val="003E619F"/>
    <w:rsid w:val="003F5BBD"/>
    <w:rsid w:val="00493779"/>
    <w:rsid w:val="004A5EC4"/>
    <w:rsid w:val="004B42B7"/>
    <w:rsid w:val="00523C36"/>
    <w:rsid w:val="0053171A"/>
    <w:rsid w:val="005C79D6"/>
    <w:rsid w:val="00612E25"/>
    <w:rsid w:val="006175AE"/>
    <w:rsid w:val="00634226"/>
    <w:rsid w:val="006970AC"/>
    <w:rsid w:val="006E4A58"/>
    <w:rsid w:val="007E333F"/>
    <w:rsid w:val="0081755F"/>
    <w:rsid w:val="0088669B"/>
    <w:rsid w:val="008C6A4B"/>
    <w:rsid w:val="008F74F5"/>
    <w:rsid w:val="009910AA"/>
    <w:rsid w:val="00994CE1"/>
    <w:rsid w:val="00A313BA"/>
    <w:rsid w:val="00A919E0"/>
    <w:rsid w:val="00AC6E50"/>
    <w:rsid w:val="00AF2C0A"/>
    <w:rsid w:val="00BC2ED2"/>
    <w:rsid w:val="00BD77E1"/>
    <w:rsid w:val="00BF25B4"/>
    <w:rsid w:val="00C31EC1"/>
    <w:rsid w:val="00D11CE9"/>
    <w:rsid w:val="00D40A60"/>
    <w:rsid w:val="00D50D0B"/>
    <w:rsid w:val="00D62D57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66DD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261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4198-A007-47C5-A0B0-39F259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2126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11</cp:revision>
  <dcterms:created xsi:type="dcterms:W3CDTF">2018-11-26T20:39:00Z</dcterms:created>
  <dcterms:modified xsi:type="dcterms:W3CDTF">2018-11-29T18:15:00Z</dcterms:modified>
</cp:coreProperties>
</file>