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:rsidR="008F74F5" w:rsidRP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</w:t>
      </w:r>
      <w:bookmarkStart w:id="0" w:name="_GoBack"/>
      <w:bookmarkEnd w:id="0"/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A315D2" wp14:editId="6288F0CE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:rsidTr="00493779">
        <w:tc>
          <w:tcPr>
            <w:tcW w:w="567" w:type="dxa"/>
          </w:tcPr>
          <w:p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:rsidR="009910AA" w:rsidRDefault="009910AA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A08CF" wp14:editId="1CF0AA1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id w:val="-164742536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8F74F5" w:rsidRDefault="008F74F5">
          <w:pPr>
            <w:pStyle w:val="Nagwekspisutreci"/>
          </w:pPr>
        </w:p>
        <w:p w:rsidR="00362619" w:rsidRPr="00362619" w:rsidRDefault="008F74F5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196340" w:history="1">
            <w:r w:rsidR="00362619" w:rsidRPr="00362619">
              <w:rPr>
                <w:rStyle w:val="Hipercze"/>
                <w:b/>
                <w:noProof/>
                <w:sz w:val="24"/>
                <w:szCs w:val="24"/>
              </w:rPr>
              <w:t>Wymagania funkcjonalne:</w:t>
            </w:r>
            <w:r w:rsidR="00362619" w:rsidRPr="00362619">
              <w:rPr>
                <w:b/>
                <w:noProof/>
                <w:webHidden/>
                <w:sz w:val="24"/>
                <w:szCs w:val="24"/>
              </w:rPr>
              <w:tab/>
            </w:r>
            <w:r w:rsidR="00362619" w:rsidRPr="0036261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2619" w:rsidRPr="00362619">
              <w:rPr>
                <w:b/>
                <w:noProof/>
                <w:webHidden/>
                <w:sz w:val="24"/>
                <w:szCs w:val="24"/>
              </w:rPr>
              <w:instrText xml:space="preserve"> PAGEREF _Toc531196340 \h </w:instrText>
            </w:r>
            <w:r w:rsidR="00362619" w:rsidRPr="00362619">
              <w:rPr>
                <w:b/>
                <w:noProof/>
                <w:webHidden/>
                <w:sz w:val="24"/>
                <w:szCs w:val="24"/>
              </w:rPr>
            </w:r>
            <w:r w:rsidR="00362619" w:rsidRPr="0036261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62619" w:rsidRPr="00362619">
              <w:rPr>
                <w:b/>
                <w:noProof/>
                <w:webHidden/>
                <w:sz w:val="24"/>
                <w:szCs w:val="24"/>
              </w:rPr>
              <w:t>3</w:t>
            </w:r>
            <w:r w:rsidR="00362619" w:rsidRPr="0036261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619" w:rsidRPr="00362619" w:rsidRDefault="00362619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196341" w:history="1">
            <w:r w:rsidRPr="00362619">
              <w:rPr>
                <w:rStyle w:val="Hipercze"/>
                <w:b/>
                <w:noProof/>
                <w:sz w:val="24"/>
                <w:szCs w:val="24"/>
              </w:rPr>
              <w:t>Wymagania niefunkcjonalne: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tab/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62619">
              <w:rPr>
                <w:b/>
                <w:noProof/>
                <w:webHidden/>
                <w:sz w:val="24"/>
                <w:szCs w:val="24"/>
              </w:rPr>
              <w:instrText xml:space="preserve"> PAGEREF _Toc531196341 \h </w:instrText>
            </w:r>
            <w:r w:rsidRPr="00362619">
              <w:rPr>
                <w:b/>
                <w:noProof/>
                <w:webHidden/>
                <w:sz w:val="24"/>
                <w:szCs w:val="24"/>
              </w:rPr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62619">
              <w:rPr>
                <w:b/>
                <w:noProof/>
                <w:webHidden/>
                <w:sz w:val="24"/>
                <w:szCs w:val="24"/>
              </w:rPr>
              <w:t>4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619" w:rsidRPr="00362619" w:rsidRDefault="00362619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196342" w:history="1">
            <w:r w:rsidRPr="00362619">
              <w:rPr>
                <w:rStyle w:val="Hipercze"/>
                <w:b/>
                <w:noProof/>
                <w:sz w:val="24"/>
                <w:szCs w:val="24"/>
              </w:rPr>
              <w:t>Słownik pojęć: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tab/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62619">
              <w:rPr>
                <w:b/>
                <w:noProof/>
                <w:webHidden/>
                <w:sz w:val="24"/>
                <w:szCs w:val="24"/>
              </w:rPr>
              <w:instrText xml:space="preserve"> PAGEREF _Toc531196342 \h </w:instrText>
            </w:r>
            <w:r w:rsidRPr="00362619">
              <w:rPr>
                <w:b/>
                <w:noProof/>
                <w:webHidden/>
                <w:sz w:val="24"/>
                <w:szCs w:val="24"/>
              </w:rPr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62619">
              <w:rPr>
                <w:b/>
                <w:noProof/>
                <w:webHidden/>
                <w:sz w:val="24"/>
                <w:szCs w:val="24"/>
              </w:rPr>
              <w:t>4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619" w:rsidRPr="00362619" w:rsidRDefault="00362619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196343" w:history="1">
            <w:r w:rsidRPr="00362619">
              <w:rPr>
                <w:rStyle w:val="Hipercze"/>
                <w:b/>
                <w:noProof/>
                <w:sz w:val="24"/>
                <w:szCs w:val="24"/>
              </w:rPr>
              <w:t>Opis/specyfikacja: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tab/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62619">
              <w:rPr>
                <w:b/>
                <w:noProof/>
                <w:webHidden/>
                <w:sz w:val="24"/>
                <w:szCs w:val="24"/>
              </w:rPr>
              <w:instrText xml:space="preserve"> PAGEREF _Toc531196343 \h </w:instrText>
            </w:r>
            <w:r w:rsidRPr="00362619">
              <w:rPr>
                <w:b/>
                <w:noProof/>
                <w:webHidden/>
                <w:sz w:val="24"/>
                <w:szCs w:val="24"/>
              </w:rPr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62619">
              <w:rPr>
                <w:b/>
                <w:noProof/>
                <w:webHidden/>
                <w:sz w:val="24"/>
                <w:szCs w:val="24"/>
              </w:rPr>
              <w:t>5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619" w:rsidRPr="00362619" w:rsidRDefault="00362619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196344" w:history="1">
            <w:r w:rsidRPr="00362619">
              <w:rPr>
                <w:rStyle w:val="Hipercze"/>
                <w:b/>
                <w:noProof/>
                <w:sz w:val="24"/>
                <w:szCs w:val="24"/>
              </w:rPr>
              <w:t>Technologie: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tab/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62619">
              <w:rPr>
                <w:b/>
                <w:noProof/>
                <w:webHidden/>
                <w:sz w:val="24"/>
                <w:szCs w:val="24"/>
              </w:rPr>
              <w:instrText xml:space="preserve"> PAGEREF _Toc531196344 \h </w:instrText>
            </w:r>
            <w:r w:rsidRPr="00362619">
              <w:rPr>
                <w:b/>
                <w:noProof/>
                <w:webHidden/>
                <w:sz w:val="24"/>
                <w:szCs w:val="24"/>
              </w:rPr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62619">
              <w:rPr>
                <w:b/>
                <w:noProof/>
                <w:webHidden/>
                <w:sz w:val="24"/>
                <w:szCs w:val="24"/>
              </w:rPr>
              <w:t>7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619" w:rsidRPr="00362619" w:rsidRDefault="00362619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196345" w:history="1">
            <w:r w:rsidRPr="00362619">
              <w:rPr>
                <w:rStyle w:val="Hipercze"/>
                <w:b/>
                <w:noProof/>
                <w:sz w:val="24"/>
                <w:szCs w:val="24"/>
              </w:rPr>
              <w:t>Model konceptualny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tab/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62619">
              <w:rPr>
                <w:b/>
                <w:noProof/>
                <w:webHidden/>
                <w:sz w:val="24"/>
                <w:szCs w:val="24"/>
              </w:rPr>
              <w:instrText xml:space="preserve"> PAGEREF _Toc531196345 \h </w:instrText>
            </w:r>
            <w:r w:rsidRPr="00362619">
              <w:rPr>
                <w:b/>
                <w:noProof/>
                <w:webHidden/>
                <w:sz w:val="24"/>
                <w:szCs w:val="24"/>
              </w:rPr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62619">
              <w:rPr>
                <w:b/>
                <w:noProof/>
                <w:webHidden/>
                <w:sz w:val="24"/>
                <w:szCs w:val="24"/>
              </w:rPr>
              <w:t>8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619" w:rsidRDefault="00362619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196346" w:history="1">
            <w:r w:rsidRPr="00362619">
              <w:rPr>
                <w:rStyle w:val="Hipercze"/>
                <w:b/>
                <w:noProof/>
                <w:sz w:val="24"/>
                <w:szCs w:val="24"/>
              </w:rPr>
              <w:t>Model relacyjny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tab/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62619">
              <w:rPr>
                <w:b/>
                <w:noProof/>
                <w:webHidden/>
                <w:sz w:val="24"/>
                <w:szCs w:val="24"/>
              </w:rPr>
              <w:instrText xml:space="preserve"> PAGEREF _Toc531196346 \h </w:instrText>
            </w:r>
            <w:r w:rsidRPr="00362619">
              <w:rPr>
                <w:b/>
                <w:noProof/>
                <w:webHidden/>
                <w:sz w:val="24"/>
                <w:szCs w:val="24"/>
              </w:rPr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62619">
              <w:rPr>
                <w:b/>
                <w:noProof/>
                <w:webHidden/>
                <w:sz w:val="24"/>
                <w:szCs w:val="24"/>
              </w:rPr>
              <w:t>11</w:t>
            </w:r>
            <w:r w:rsidRPr="0036261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4F5" w:rsidRPr="00362619" w:rsidRDefault="008F74F5" w:rsidP="00362619">
          <w:r>
            <w:rPr>
              <w:b/>
              <w:bCs/>
            </w:rPr>
            <w:fldChar w:fldCharType="end"/>
          </w:r>
        </w:p>
      </w:sdtContent>
    </w:sdt>
    <w:p w:rsidR="00362619" w:rsidRDefault="00362619">
      <w:pPr>
        <w:rPr>
          <w:b/>
          <w:sz w:val="32"/>
          <w:szCs w:val="32"/>
        </w:rPr>
      </w:pPr>
      <w:bookmarkStart w:id="1" w:name="_Toc531196340"/>
      <w:r>
        <w:rPr>
          <w:sz w:val="32"/>
          <w:szCs w:val="32"/>
        </w:rPr>
        <w:br w:type="page"/>
      </w:r>
    </w:p>
    <w:p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7A16D" wp14:editId="14C8BEF2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20"/>
      </w:tblGrid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stanowisko pracownika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wynagrodzenie pracownika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Dane klientów kasowane są po określonym czasie po wygaśnięciu karnetu lub po dacie rezerwacji toru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 w:rsidR="00152720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</w:p>
        </w:tc>
      </w:tr>
      <w:tr w:rsidR="00265AA0" w:rsidRPr="009910AA" w:rsidTr="00685107">
        <w:trPr>
          <w:trHeight w:val="438"/>
        </w:trPr>
        <w:tc>
          <w:tcPr>
            <w:tcW w:w="710" w:type="dxa"/>
          </w:tcPr>
          <w:p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</w:p>
        </w:tc>
      </w:tr>
      <w:tr w:rsidR="00265AA0" w:rsidTr="00265AA0">
        <w:tc>
          <w:tcPr>
            <w:tcW w:w="710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</w:t>
            </w:r>
          </w:p>
        </w:tc>
        <w:tc>
          <w:tcPr>
            <w:tcW w:w="3119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</w:tbl>
    <w:p w:rsidR="009910AA" w:rsidRDefault="009910AA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p w:rsidR="00AC6E50" w:rsidRDefault="00AC6E50" w:rsidP="009910AA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9910AA" w:rsidRPr="008F74F5" w:rsidRDefault="00362619" w:rsidP="008F74F5">
      <w:pPr>
        <w:pStyle w:val="Nagwek1"/>
        <w:rPr>
          <w:sz w:val="32"/>
          <w:szCs w:val="32"/>
        </w:rPr>
      </w:pPr>
      <w:bookmarkStart w:id="2" w:name="_Toc531196341"/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E9D3BA" wp14:editId="036C765E">
                <wp:simplePos x="0" y="0"/>
                <wp:positionH relativeFrom="column">
                  <wp:posOffset>-123825</wp:posOffset>
                </wp:positionH>
                <wp:positionV relativeFrom="paragraph">
                  <wp:posOffset>247015</wp:posOffset>
                </wp:positionV>
                <wp:extent cx="6619875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C9A77" id="Łącznik prosty 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9.45pt" to="511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Zastosowanie podczas logowania kodowania haseł. Hasła w bazie danych przechowywane w formie zakodowanej wraz z solą [salt].</w:t>
            </w:r>
          </w:p>
        </w:tc>
      </w:tr>
    </w:tbl>
    <w:p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p w:rsidR="009910AA" w:rsidRPr="00362619" w:rsidRDefault="00362619" w:rsidP="00362619">
      <w:pPr>
        <w:pStyle w:val="Nagwek1"/>
        <w:rPr>
          <w:sz w:val="32"/>
          <w:szCs w:val="32"/>
        </w:rPr>
      </w:pPr>
      <w:bookmarkStart w:id="3" w:name="_Toc531196342"/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E9D3BA" wp14:editId="036C765E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3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status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imię, nazwisko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telefon </w:t>
            </w:r>
            <w:r w:rsidRPr="003E619F">
              <w:rPr>
                <w:rFonts w:asciiTheme="majorHAnsi" w:eastAsia="Times New Roman" w:hAnsiTheme="majorHAnsi" w:cstheme="majorHAnsi"/>
              </w:rPr>
              <w:t>osoby zamawiającej. Atrybut „status” będzie miał na celu odnotowanie faktu, czy rezerwacja została wykorzystana. Wprowadzenie wyżej wspomnianego atrybutu pozwoli zbierać dane do statystyk użyteczne dla eksperta ds. marketingu.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będzie dokonywał transakcji – bytu będącego odwzorowaniem dokonania zakupu przez klienta.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lastRenderedPageBreak/>
              <w:t>Transakcja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W przypadku wykupienia przez klienta karnetu (lub innej długoterminowej usługi) może być on zapisany do bazy danych.</w:t>
            </w:r>
          </w:p>
        </w:tc>
      </w:tr>
      <w:tr w:rsidR="003E619F" w:rsidRPr="009910AA" w:rsidTr="00D11CE9">
        <w:trPr>
          <w:trHeight w:val="438"/>
        </w:trPr>
        <w:tc>
          <w:tcPr>
            <w:tcW w:w="1843" w:type="dxa"/>
          </w:tcPr>
          <w:p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Osoba, która dokonuje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>
              <w:rPr>
                <w:rFonts w:asciiTheme="majorHAnsi" w:eastAsia="Times New Roman" w:hAnsiTheme="majorHAnsi" w:cstheme="majorHAnsi"/>
              </w:rPr>
              <w:t xml:space="preserve">i/lub </w:t>
            </w:r>
            <w:r>
              <w:rPr>
                <w:rFonts w:asciiTheme="majorHAnsi" w:eastAsia="Times New Roman" w:hAnsiTheme="majorHAnsi" w:cstheme="majorHAnsi"/>
                <w:b/>
              </w:rPr>
              <w:t>wykupuje karnet.</w:t>
            </w:r>
            <w:r>
              <w:rPr>
                <w:rFonts w:asciiTheme="majorHAnsi" w:eastAsia="Times New Roman" w:hAnsiTheme="majorHAnsi" w:cstheme="majorHAnsi"/>
              </w:rPr>
              <w:t xml:space="preserve"> Oznacza to, że nie wszystkie osoby, które dokonują transakcji, znajdą się w bazie danych – personalia są potrzebne tylko w wyżej wymienionych przypadkach.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:rsidTr="00D11CE9">
        <w:tc>
          <w:tcPr>
            <w:tcW w:w="1843" w:type="dxa"/>
          </w:tcPr>
          <w:p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:rsidR="009910AA" w:rsidRPr="009910AA" w:rsidRDefault="009910AA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p w:rsidR="00EA04DD" w:rsidRPr="00362619" w:rsidRDefault="00E20921" w:rsidP="00362619">
      <w:pPr>
        <w:pStyle w:val="Nagwek1"/>
        <w:rPr>
          <w:sz w:val="32"/>
          <w:szCs w:val="32"/>
        </w:rPr>
      </w:pPr>
      <w:bookmarkStart w:id="4" w:name="_Toc531196343"/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FED745" wp14:editId="2A955D4A">
                <wp:simplePos x="0" y="0"/>
                <wp:positionH relativeFrom="column">
                  <wp:posOffset>0</wp:posOffset>
                </wp:positionH>
                <wp:positionV relativeFrom="paragraph">
                  <wp:posOffset>466090</wp:posOffset>
                </wp:positionV>
                <wp:extent cx="6619875" cy="0"/>
                <wp:effectExtent l="0" t="0" r="0" b="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E3656" id="Łącznik prosty 3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pt" to="521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pLlbL2wAAAAcBAAAPAAAAZHJz&#10;L2Rvd25yZXYueG1sTI/BTsMwEETvSPyDtUjc6IbSQhXiVKgIxA21oJ63sRsH7HWI3STw9bjiUI47&#10;M5p5WyxHZ0Wvu9B4lnA9yUBorrxquJbw/vZ0tQARIrEi61lL+NYBluX5WUG58gOvdb+JtUglHHKS&#10;YGJsc8RQGe0oTHyrOXl73zmK6exqVB0NqdxZnGbZLTpqOC0YavXK6Opzc3AScG1+HnFFH1/z4eWZ&#10;xm2/R/sq5eXF+HAPIuoxnsJwxE/oUCamnT+wCsJKSI9ECXc3MxBHN5tN5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aS5Wy9sAAAAHAQAADwAAAAAAAAAAAAAAAAAa&#10;BAAAZHJzL2Rvd25yZXYueG1sUEsFBgAAAAAEAAQA8wAAACIFAAAAAA==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4"/>
      <w:r w:rsidR="00D50D0B" w:rsidRPr="00362619">
        <w:rPr>
          <w:sz w:val="32"/>
          <w:szCs w:val="32"/>
        </w:rPr>
        <w:t xml:space="preserve"> </w:t>
      </w:r>
    </w:p>
    <w:p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5" w:name="_gjdgxs" w:colFirst="0" w:colLast="0"/>
      <w:bookmarkEnd w:id="5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:rsidR="003376C8" w:rsidRPr="003376C8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18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 w:rsidR="00110ED3">
        <w:rPr>
          <w:rFonts w:asciiTheme="majorHAnsi" w:eastAsia="Times New Roman" w:hAnsiTheme="majorHAnsi" w:cstheme="majorHAnsi"/>
          <w:sz w:val="24"/>
          <w:szCs w:val="28"/>
        </w:rPr>
        <w:t>,</w:t>
      </w: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 jednak ze względów praktycznych nie ma on </w:t>
      </w:r>
      <w:r>
        <w:rPr>
          <w:rFonts w:asciiTheme="majorHAnsi" w:eastAsia="Times New Roman" w:hAnsiTheme="majorHAnsi" w:cstheme="majorHAnsi"/>
          <w:sz w:val="24"/>
          <w:szCs w:val="28"/>
        </w:rPr>
        <w:t>bezpośredniego dostępu do systemu. Aby móc cokolwiek zmienić, musi kontaktować się z pracownikami basenu, do którego uczęszcza.</w:t>
      </w:r>
    </w:p>
    <w:p w:rsidR="003376C8" w:rsidRPr="0038643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</w:p>
    <w:p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</w:p>
    <w:p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t>Obiekty: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</w:p>
    <w:p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EA04DD" w:rsidRPr="00362619" w:rsidRDefault="00E20921" w:rsidP="00362619">
      <w:pPr>
        <w:pStyle w:val="Nagwek1"/>
        <w:rPr>
          <w:sz w:val="32"/>
          <w:szCs w:val="32"/>
        </w:rPr>
      </w:pPr>
      <w:bookmarkStart w:id="6" w:name="_Toc531196344"/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FED745" wp14:editId="2A955D4A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6"/>
      <w:r w:rsidR="00D50D0B" w:rsidRPr="00362619">
        <w:rPr>
          <w:sz w:val="32"/>
          <w:szCs w:val="32"/>
        </w:rPr>
        <w:t xml:space="preserve"> 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:rsidR="00ED236A" w:rsidRPr="00362619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7" w:name="_Toc531196345"/>
      <w:r w:rsidR="00ED236A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25A86" wp14:editId="01079AC1">
                <wp:simplePos x="0" y="0"/>
                <wp:positionH relativeFrom="column">
                  <wp:posOffset>0</wp:posOffset>
                </wp:positionH>
                <wp:positionV relativeFrom="paragraph">
                  <wp:posOffset>475615</wp:posOffset>
                </wp:positionV>
                <wp:extent cx="6619875" cy="0"/>
                <wp:effectExtent l="0" t="0" r="0" b="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F07C1" id="Łącznik prosty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7.45pt" to="521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" strokecolor="#f68c36 [3049]"/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7"/>
    </w:p>
    <w:p w:rsidR="0053171A" w:rsidRPr="00362619" w:rsidRDefault="006970AC" w:rsidP="0036261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638925" cy="78962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36A">
        <w:br w:type="column"/>
      </w:r>
      <w:r w:rsidR="002B5723" w:rsidRPr="00362619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FCBA" wp14:editId="71501F3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="002B5723" w:rsidRPr="00362619">
        <w:rPr>
          <w:b/>
          <w:sz w:val="32"/>
          <w:szCs w:val="32"/>
        </w:rPr>
        <w:t>Model logiczny</w:t>
      </w: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aż czterema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Rezerwacja toru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b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Rezerwacje toru</w:t>
      </w:r>
      <w:r w:rsidRPr="0053171A">
        <w:rPr>
          <w:rFonts w:asciiTheme="majorHAnsi" w:hAnsiTheme="majorHAnsi" w:cstheme="majorHAnsi"/>
          <w:sz w:val="24"/>
          <w:szCs w:val="24"/>
        </w:rPr>
        <w:t xml:space="preserve"> 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W przypadku encji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</w:t>
      </w:r>
      <w:r w:rsidRPr="0053171A">
        <w:rPr>
          <w:rFonts w:asciiTheme="majorHAnsi" w:hAnsiTheme="majorHAnsi" w:cstheme="majorHAnsi"/>
          <w:sz w:val="24"/>
          <w:szCs w:val="24"/>
        </w:rPr>
        <w:t xml:space="preserve">, jest ona połączona relacjami z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Transakcją</w:t>
      </w:r>
      <w:r w:rsidRPr="0053171A">
        <w:rPr>
          <w:rFonts w:asciiTheme="majorHAnsi" w:hAnsiTheme="majorHAnsi" w:cstheme="majorHAnsi"/>
          <w:sz w:val="24"/>
          <w:szCs w:val="24"/>
        </w:rPr>
        <w:t xml:space="preserve">, przy czym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na szczególną uwagę zasługuje drugi ze związków – jest to relacja 1:N, obligatoryjna od strony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Otóż zgodnie z dokumentacją,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Klient </w:t>
      </w:r>
      <w:r w:rsidRPr="0053171A">
        <w:rPr>
          <w:rFonts w:asciiTheme="majorHAnsi" w:hAnsiTheme="majorHAnsi" w:cstheme="majorHAnsi"/>
          <w:sz w:val="24"/>
          <w:szCs w:val="24"/>
        </w:rPr>
        <w:t xml:space="preserve">może dokonać wielu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 xml:space="preserve">, ale nie każda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 dotyczy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Wynika to z przyjętego założenia, że w bazie zapisywane są dane tylko niektórych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Stąd też </w:t>
      </w:r>
      <w:r w:rsidR="00110ED3">
        <w:rPr>
          <w:rFonts w:asciiTheme="majorHAnsi" w:hAnsiTheme="majorHAnsi" w:cstheme="majorHAnsi"/>
          <w:sz w:val="24"/>
          <w:szCs w:val="24"/>
        </w:rPr>
        <w:t>opcjonalność</w:t>
      </w:r>
      <w:r w:rsidRPr="0053171A">
        <w:rPr>
          <w:rFonts w:asciiTheme="majorHAnsi" w:hAnsiTheme="majorHAnsi" w:cstheme="majorHAnsi"/>
          <w:sz w:val="24"/>
          <w:szCs w:val="24"/>
        </w:rPr>
        <w:t xml:space="preserve"> związku od strony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Zmianą, jaka zaszła w modelu logicznym względem modelu koncepcyjnego jest przede wszystkim wyróżnienie nowych encji: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Poszczególne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Stanowiska</w:t>
      </w:r>
      <w:r w:rsidRPr="0053171A">
        <w:rPr>
          <w:rFonts w:asciiTheme="majorHAnsi" w:hAnsiTheme="majorHAnsi" w:cstheme="majorHAnsi"/>
          <w:sz w:val="24"/>
          <w:szCs w:val="24"/>
        </w:rPr>
        <w:t xml:space="preserve"> mogą się powtarzać wśród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, więc rozsądniej jest utworzyć osobną encję, niż przechowywać (i powielać)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te informacje w atrybutach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Ponadto wielu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 nie będzie miało dostępu do bazy danych – dlatego też utworzona została nowa encja, przechowującą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 tylko tych </w:t>
      </w:r>
      <w:r w:rsidRPr="0053171A">
        <w:rPr>
          <w:rFonts w:asciiTheme="majorHAnsi" w:hAnsiTheme="majorHAnsi" w:cstheme="majorHAnsi"/>
          <w:b/>
          <w:sz w:val="24"/>
          <w:szCs w:val="24"/>
        </w:rPr>
        <w:t>Osób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które dostęp do systemu posiadają. </w:t>
      </w:r>
    </w:p>
    <w:p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195249">
        <w:rPr>
          <w:noProof/>
        </w:rPr>
        <w:lastRenderedPageBreak/>
        <w:drawing>
          <wp:inline distT="0" distB="0" distL="0" distR="0" wp14:anchorId="240B7724" wp14:editId="769AE692">
            <wp:extent cx="8791427" cy="4067274"/>
            <wp:effectExtent l="0" t="318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0874" cy="40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8" w:name="_Toc531196346"/>
      <w:r w:rsidR="002B5723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4FCBA" wp14:editId="71501F31">
                <wp:simplePos x="0" y="0"/>
                <wp:positionH relativeFrom="column">
                  <wp:posOffset>0</wp:posOffset>
                </wp:positionH>
                <wp:positionV relativeFrom="paragraph">
                  <wp:posOffset>389890</wp:posOffset>
                </wp:positionV>
                <wp:extent cx="6619875" cy="0"/>
                <wp:effectExtent l="0" t="0" r="0" b="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BC0D0" id="Łącznik prosty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7pt" to="521.2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XLasQ2wAAAAcBAAAPAAAAZHJz&#10;L2Rvd25yZXYueG1sTI/BTsMwEETvSPyDtUjcqNOqrVCIU6EiEDfUFnHexts4rb0OsZsEvh5XHOC4&#10;M6OZt8VqdFb01IXGs4LpJANBXHndcK3gffd8dw8iRGSN1jMp+KIAq/L6qsBc+4E31G9jLVIJhxwV&#10;mBjbXMpQGXIYJr4lTt7Bdw5jOrta6g6HVO6snGXZUjpsOC0YbGltqDptz06B3JjvJ7nG4+dieH3B&#10;8aM/SPum1O3N+PgAItIY/8JwwU/oUCamvT+zDsIqSI9EBcvpHMTFzeazBYj9ryLLQv7nL38A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Vy2rENsAAAAHAQAADwAAAAAAAAAAAAAAAAAa&#10;BAAAZHJzL2Rvd25yZXYueG1sUEsFBgAAAAAEAAQA8wAAACIFAAAAAA==&#10;" strokecolor="#f68c36 [3049]"/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8"/>
    </w:p>
    <w:p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tworzenia żadnych dodatkowych relacji. Jedynie encja „osoba” nie została transformowana na relację, gdyż z założenia miało nie być instancji tej encji nadrzędnej.</w:t>
      </w:r>
    </w:p>
    <w:p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do klucza obcego w tabeli „Dane do logowania”. </w:t>
      </w:r>
    </w:p>
    <w:p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145"/>
        <w:gridCol w:w="4801"/>
        <w:gridCol w:w="3628"/>
      </w:tblGrid>
      <w:tr w:rsidR="002B5723" w:rsidTr="002B5723">
        <w:tc>
          <w:tcPr>
            <w:tcW w:w="2145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Rezerwacja toru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Dane do logowania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(w tym indeks założony na tę kolumnę)</w:t>
            </w:r>
          </w:p>
        </w:tc>
      </w:tr>
    </w:tbl>
    <w:p w:rsidR="00ED236A" w:rsidRDefault="00ED236A" w:rsidP="002B5723"/>
    <w:p w:rsidR="0053171A" w:rsidRPr="002B5723" w:rsidRDefault="00ED236A" w:rsidP="002B5723">
      <w:r>
        <w:br w:type="column"/>
      </w:r>
      <w:r w:rsidR="006970AC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-955040</wp:posOffset>
            </wp:positionH>
            <wp:positionV relativeFrom="paragraph">
              <wp:posOffset>2660015</wp:posOffset>
            </wp:positionV>
            <wp:extent cx="8679815" cy="3641090"/>
            <wp:effectExtent l="4763" t="0" r="0" b="0"/>
            <wp:wrapTight wrapText="bothSides">
              <wp:wrapPolygon edited="0">
                <wp:start x="12" y="21628"/>
                <wp:lineTo x="21534" y="21628"/>
                <wp:lineTo x="21534" y="156"/>
                <wp:lineTo x="12" y="156"/>
                <wp:lineTo x="12" y="21628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7981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BE8" w:rsidRDefault="00E51BE8" w:rsidP="004A5EC4">
      <w:pPr>
        <w:spacing w:after="0" w:line="240" w:lineRule="auto"/>
      </w:pPr>
      <w:r>
        <w:separator/>
      </w:r>
    </w:p>
  </w:endnote>
  <w:endnote w:type="continuationSeparator" w:id="0">
    <w:p w:rsidR="00E51BE8" w:rsidRDefault="00E51BE8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835307"/>
      <w:docPartObj>
        <w:docPartGallery w:val="Page Numbers (Bottom of Page)"/>
        <w:docPartUnique/>
      </w:docPartObj>
    </w:sdtPr>
    <w:sdtEndPr/>
    <w:sdtContent>
      <w:p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7E1">
          <w:rPr>
            <w:noProof/>
          </w:rPr>
          <w:t>11</w:t>
        </w:r>
        <w:r>
          <w:fldChar w:fldCharType="end"/>
        </w:r>
      </w:p>
    </w:sdtContent>
  </w:sdt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BE8" w:rsidRDefault="00E51BE8" w:rsidP="004A5EC4">
      <w:pPr>
        <w:spacing w:after="0" w:line="240" w:lineRule="auto"/>
      </w:pPr>
      <w:r>
        <w:separator/>
      </w:r>
    </w:p>
  </w:footnote>
  <w:footnote w:type="continuationSeparator" w:id="0">
    <w:p w:rsidR="00E51BE8" w:rsidRDefault="00E51BE8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D"/>
    <w:rsid w:val="00110ED3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62619"/>
    <w:rsid w:val="00386431"/>
    <w:rsid w:val="003E619F"/>
    <w:rsid w:val="00493779"/>
    <w:rsid w:val="004A5EC4"/>
    <w:rsid w:val="0053171A"/>
    <w:rsid w:val="00612E25"/>
    <w:rsid w:val="00634226"/>
    <w:rsid w:val="006970AC"/>
    <w:rsid w:val="006E4A58"/>
    <w:rsid w:val="0081755F"/>
    <w:rsid w:val="0088669B"/>
    <w:rsid w:val="008F74F5"/>
    <w:rsid w:val="009910AA"/>
    <w:rsid w:val="00A313BA"/>
    <w:rsid w:val="00A919E0"/>
    <w:rsid w:val="00AC6E50"/>
    <w:rsid w:val="00AF2C0A"/>
    <w:rsid w:val="00BC2ED2"/>
    <w:rsid w:val="00BD77E1"/>
    <w:rsid w:val="00BF25B4"/>
    <w:rsid w:val="00C31EC1"/>
    <w:rsid w:val="00D11CE9"/>
    <w:rsid w:val="00D50D0B"/>
    <w:rsid w:val="00E20921"/>
    <w:rsid w:val="00E46816"/>
    <w:rsid w:val="00E51BE8"/>
    <w:rsid w:val="00E5674B"/>
    <w:rsid w:val="00E7494E"/>
    <w:rsid w:val="00EA04DD"/>
    <w:rsid w:val="00EC371F"/>
    <w:rsid w:val="00ED236A"/>
    <w:rsid w:val="00F6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261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4368C-4FD1-428E-894A-91BAF429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11</Pages>
  <Words>1885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1</cp:revision>
  <dcterms:created xsi:type="dcterms:W3CDTF">2018-11-26T20:39:00Z</dcterms:created>
  <dcterms:modified xsi:type="dcterms:W3CDTF">2018-11-28T18:37:00Z</dcterms:modified>
</cp:coreProperties>
</file>