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382E" w14:textId="77777777" w:rsidR="002A5FDB" w:rsidRDefault="00000000">
      <w:pPr>
        <w:spacing w:after="400"/>
        <w:jc w:val="center"/>
      </w:pPr>
      <w:r>
        <w:rPr>
          <w:color w:val="886912"/>
          <w:sz w:val="17"/>
          <w:szCs w:val="17"/>
        </w:rPr>
        <w:t>ALLIANCE FOR COLLECTIVE EMPOWERMENT AND DEVELOPMENT</w:t>
      </w:r>
    </w:p>
    <w:p w14:paraId="63071F04" w14:textId="77777777" w:rsidR="002A5FDB" w:rsidRDefault="00000000">
      <w:pPr>
        <w:spacing w:after="140"/>
        <w:jc w:val="center"/>
      </w:pPr>
      <w:r>
        <w:rPr>
          <w:b/>
          <w:bCs/>
          <w:color w:val="1A1A1A"/>
          <w:sz w:val="44"/>
          <w:szCs w:val="44"/>
        </w:rPr>
        <w:t>THE ARROGANCE OF AUTHORITY</w:t>
      </w:r>
    </w:p>
    <w:p w14:paraId="233DC248" w14:textId="77777777" w:rsidR="002A5FDB" w:rsidRDefault="00000000">
      <w:pPr>
        <w:spacing w:after="500"/>
        <w:jc w:val="center"/>
      </w:pPr>
      <w:r>
        <w:rPr>
          <w:i/>
          <w:iCs/>
          <w:color w:val="DA121A"/>
          <w:sz w:val="24"/>
          <w:szCs w:val="24"/>
        </w:rPr>
        <w:t>They Took the Proof, Then Demanded It</w:t>
      </w:r>
    </w:p>
    <w:p w14:paraId="104F8383" w14:textId="77777777" w:rsidR="002A5FDB" w:rsidRDefault="00000000">
      <w:pPr>
        <w:spacing w:after="300"/>
        <w:jc w:val="center"/>
      </w:pPr>
      <w:r>
        <w:rPr>
          <w:color w:val="6B6B6B"/>
          <w:sz w:val="18"/>
          <w:szCs w:val="18"/>
        </w:rPr>
        <w:t>A Position Paper of the Alliance for Collective Empowerment and Development</w:t>
      </w:r>
    </w:p>
    <w:p w14:paraId="104F8383" w14:textId="77777777" w:rsidR="002A5FDB" w:rsidRDefault="00000000">
      <w:pPr>
        <w:spacing w:after="300"/>
        <w:jc w:val="center"/>
      </w:pPr>
      <w:r>
        <w:rPr>
          <w:color w:val="6B6B6B"/>
          <w:sz w:val="18"/>
          <w:szCs w:val="18"/>
        </w:rPr>
        <w:t>Version 1.0, October 2026</w:t>
      </w:r>
    </w:p>
    <w:p w14:paraId="01409D79" w14:textId="77777777" w:rsidR="002A5FDB" w:rsidRDefault="00000000">
      <w:pPr>
        <w:jc w:val="center"/>
      </w:pPr>
      <w:r>
        <w:rPr>
          <w:i/>
          <w:iCs/>
          <w:color w:val="886912"/>
          <w:sz w:val="18"/>
          <w:szCs w:val="18"/>
        </w:rPr>
        <w:t>For Our People, By Our People</w:t>
      </w:r>
    </w:p>
    <w:p w14:paraId="5B8D5A41" w14:textId="77777777" w:rsidR="002A5FDB" w:rsidRDefault="00000000">
      <w:pPr>
        <w:pStyle w:val="Heading1"/>
        <w:spacing w:after="160"/>
      </w:pPr>
      <w:r>
        <w:rPr>
          <w:b/>
          <w:bCs/>
          <w:color w:val="886912"/>
          <w:sz w:val="26"/>
          <w:szCs w:val="26"/>
        </w:rPr>
        <w:t>Prologue: The Paradox of Proof</w:t>
      </w:r>
    </w:p>
    <w:p w14:paraId="58CC5CBF" w14:textId="77777777" w:rsidR="002A5FDB" w:rsidRDefault="00000000">
      <w:pPr>
        <w:spacing w:after="180" w:line="300" w:lineRule="auto"/>
        <w:jc w:val="both"/>
      </w:pPr>
      <w:r>
        <w:rPr>
          <w:color w:val="2C2C2A"/>
          <w:sz w:val="22"/>
          <w:szCs w:val="22"/>
        </w:rPr>
        <w:t>To destroy a sovereign people requires force. To erase them from the law requires only bureaucracy.</w:t>
      </w:r>
    </w:p>
    <w:p w14:paraId="58CC5CBF" w14:textId="77777777" w:rsidR="002A5FDB" w:rsidRDefault="00000000">
      <w:pPr>
        <w:spacing w:after="180" w:line="300" w:lineRule="auto"/>
        <w:jc w:val="both"/>
      </w:pPr>
      <w:r>
        <w:rPr>
          <w:color w:val="2C2C2A"/>
          <w:sz w:val="22"/>
          <w:szCs w:val="22"/>
        </w:rPr>
        <w:t>The force came first, and the record names who used it.</w:t>
      </w:r>
    </w:p>
    <w:p w14:paraId="58CC5CBF" w14:textId="77777777" w:rsidR="002A5FDB" w:rsidRDefault="00000000">
      <w:pPr>
        <w:spacing w:after="180" w:line="300" w:lineRule="auto"/>
        <w:jc w:val="both"/>
      </w:pPr>
      <w:r>
        <w:rPr>
          <w:color w:val="2C2C2A"/>
          <w:sz w:val="22"/>
          <w:szCs w:val="22"/>
        </w:rPr>
        <w:t>In 1830, Congress passed the Indian Removal Act. In 1838, federal troops rounded the Cherokee into stockades and drove close to 16,000 people west. Estimates of the dead run from 2,000 to more than 4,000.</w:t>
      </w:r>
    </w:p>
    <w:p w14:paraId="58CC5CBF" w14:textId="77777777" w:rsidR="002A5FDB" w:rsidRDefault="00000000">
      <w:pPr>
        <w:spacing w:after="180" w:line="300" w:lineRule="auto"/>
        <w:jc w:val="both"/>
      </w:pPr>
      <w:r>
        <w:rPr>
          <w:color w:val="2C2C2A"/>
          <w:sz w:val="22"/>
          <w:szCs w:val="22"/>
        </w:rPr>
        <w:t>In 1851, California's governor told the state's lawmakers that "a war of extermination" would continue to be waged. The state raised more than a million dollars to pay for militia expeditions against California's Native peoples. Between 1846 and 1873, their number fell from about 150,000 to about 30,000.</w:t>
      </w:r>
    </w:p>
    <w:p w14:paraId="58CC5CBF" w14:textId="77777777" w:rsidR="002A5FDB" w:rsidRDefault="00000000">
      <w:pPr>
        <w:spacing w:after="180" w:line="300" w:lineRule="auto"/>
        <w:jc w:val="both"/>
      </w:pPr>
      <w:r>
        <w:rPr>
          <w:color w:val="2C2C2A"/>
          <w:sz w:val="22"/>
          <w:szCs w:val="22"/>
        </w:rPr>
        <w:t>On December 26, 1862, after trials before a military commission, the United States hanged thirty-eight Dakota men at Mankato, Minnesota. It remains the largest mass execution in the nation's history.</w:t>
      </w:r>
    </w:p>
    <w:p w14:paraId="58CC5CBF" w14:textId="77777777" w:rsidR="002A5FDB" w:rsidRDefault="00000000">
      <w:pPr>
        <w:spacing w:after="180" w:line="300" w:lineRule="auto"/>
        <w:jc w:val="both"/>
      </w:pPr>
      <w:r>
        <w:rPr>
          <w:color w:val="2C2C2A"/>
          <w:sz w:val="22"/>
          <w:szCs w:val="22"/>
        </w:rPr>
        <w:t>Beginning in 1864, the United States Army drove thousands of Navajo at gunpoint on a forced march of hundreds of miles, the Long Walk, to Bosque Redondo, a reservation that functioned as an internment camp.</w:t>
      </w:r>
    </w:p>
    <w:p w14:paraId="58CC5CBF" w14:textId="77777777" w:rsidR="002A5FDB" w:rsidRDefault="00000000">
      <w:pPr>
        <w:spacing w:after="180" w:line="300" w:lineRule="auto"/>
        <w:jc w:val="both"/>
      </w:pPr>
      <w:r>
        <w:rPr>
          <w:color w:val="2C2C2A"/>
          <w:sz w:val="22"/>
          <w:szCs w:val="22"/>
        </w:rPr>
        <w:t>On November 29, 1864, United States volunteer troops from Colorado Territory attacked a Cheyenne and Arapaho camp at Sand Creek and killed around 230 people, most of them women, children, and the elderly.</w:t>
      </w:r>
    </w:p>
    <w:p w14:paraId="58CC5CBF" w14:textId="77777777" w:rsidR="002A5FDB" w:rsidRDefault="00000000">
      <w:pPr>
        <w:spacing w:after="180" w:line="300" w:lineRule="auto"/>
        <w:jc w:val="both"/>
      </w:pPr>
      <w:r>
        <w:rPr>
          <w:color w:val="2C2C2A"/>
          <w:sz w:val="22"/>
          <w:szCs w:val="22"/>
        </w:rPr>
        <w:t>On December 29, 1890, at Wounded Knee, the United States Army killed between 150 and 300 Lakota. The Army then awarded the Medal of Honor to twenty soldiers of the 7th Cavalry who took part.</w:t>
      </w:r>
    </w:p>
    <w:p w14:paraId="58CC5CBF" w14:textId="77777777" w:rsidR="002A5FDB" w:rsidRDefault="00000000">
      <w:pPr>
        <w:spacing w:after="180" w:line="300" w:lineRule="auto"/>
        <w:jc w:val="both"/>
      </w:pPr>
      <w:r>
        <w:rPr>
          <w:color w:val="2C2C2A"/>
          <w:sz w:val="22"/>
          <w:szCs w:val="22"/>
        </w:rPr>
        <w:t>That was the force. What came with it and after it was quieter, and it reached further.</w:t>
      </w:r>
    </w:p>
    <w:p w14:paraId="58CC5CBF" w14:textId="77777777" w:rsidR="002A5FDB" w:rsidRDefault="00000000">
      <w:pPr>
        <w:spacing w:after="180" w:line="300" w:lineRule="auto"/>
        <w:jc w:val="both"/>
      </w:pPr>
      <w:r>
        <w:rPr>
          <w:color w:val="2C2C2A"/>
          <w:sz w:val="22"/>
          <w:szCs w:val="22"/>
        </w:rPr>
        <w:t>For a century and a half, from 1819 to 1969, the federal government ran 408 Indian boarding schools across thirty-seven states and territories. By its own Department of the Interior's account, the system pursued "the twin goals of cultural assimilation and territorial dispossession of Indigenous peoples," through "the forced removal and relocation of their children" and by "discouraging or preventing the use of" Native languages. The report documented "rampant physical, sexual, and emotional abuse" in the schools. In 1883, the Bureau of Indian Affairs created Courts of Indian Offenses, under rules that banned dances, feasts, and traditional religious practices such as the sun dance. In Virginia, a 1924 law defined a white person, with one narrow exception, as one with no trace of non-white ancestry, and the state's registrar spent decades rewriting birth, marriage, and census records that had listed people as Indian. The Library of Virginia calls it what it was: a "paper genocide."</w:t>
      </w:r>
    </w:p>
    <w:p w14:paraId="58CC5CBF" w14:textId="77777777" w:rsidR="002A5FDB" w:rsidRDefault="00000000">
      <w:pPr>
        <w:spacing w:after="180" w:line="300" w:lineRule="auto"/>
        <w:jc w:val="both"/>
      </w:pPr>
      <w:r>
        <w:rPr>
          <w:color w:val="2C2C2A"/>
          <w:sz w:val="22"/>
          <w:szCs w:val="22"/>
        </w:rPr>
        <w:t>Today, through the machinery of administrative acknowledgment, the same federal government turns to the peoples who survived all of this and asks for the receipts of their survival. It asks the victim of an arson to produce the unburned deeds.</w:t>
      </w:r>
    </w:p>
    <w:p w14:paraId="58CC5CBF" w14:textId="77777777" w:rsidR="002A5FDB" w:rsidRDefault="00000000">
      <w:pPr>
        <w:spacing w:after="180" w:line="300" w:lineRule="auto"/>
        <w:jc w:val="both"/>
      </w:pPr>
      <w:r>
        <w:rPr>
          <w:color w:val="2C2C2A"/>
          <w:sz w:val="22"/>
          <w:szCs w:val="22"/>
        </w:rPr>
        <w:t>This is not a neutral procedure. It is a trap: the more completely a people's records were destroyed, the more completely the law can declare that people gone.</w:t>
      </w:r>
    </w:p>
    <w:p w14:paraId="5B8D5A41" w14:textId="77777777" w:rsidR="002A5FDB" w:rsidRDefault="00000000">
      <w:pPr>
        <w:pStyle w:val="Heading1"/>
        <w:spacing w:after="160"/>
      </w:pPr>
      <w:r>
        <w:rPr>
          <w:b/>
          <w:bCs/>
          <w:color w:val="886912"/>
          <w:sz w:val="26"/>
          <w:szCs w:val="26"/>
        </w:rPr>
        <w:t>I. The Indictment</w:t>
      </w:r>
    </w:p>
    <w:p w14:paraId="58CC5CBF" w14:textId="77777777" w:rsidR="002A5FDB" w:rsidRDefault="00000000">
      <w:pPr>
        <w:spacing w:after="180" w:line="300" w:lineRule="auto"/>
        <w:jc w:val="both"/>
      </w:pPr>
      <w:r>
        <w:rPr>
          <w:color w:val="2C2C2A"/>
          <w:sz w:val="22"/>
          <w:szCs w:val="22"/>
        </w:rPr>
        <w:t>A people can be stripped of its name. Its language can be suppressed, its land taken, its families scattered, and its records rewritten, lost, or never allowed to be kept. All of this was done on this continent, by law and by federal policy, across generations.</w:t>
      </w:r>
    </w:p>
    <w:p w14:paraId="58CC5CBF" w14:textId="77777777" w:rsidR="002A5FDB" w:rsidRDefault="00000000">
      <w:pPr>
        <w:spacing w:after="180" w:line="300" w:lineRule="auto"/>
        <w:jc w:val="both"/>
      </w:pPr>
      <w:r>
        <w:rPr>
          <w:color w:val="2C2C2A"/>
          <w:sz w:val="22"/>
          <w:szCs w:val="22"/>
        </w:rPr>
        <w:t>What follows defies reason. The government that carried out the dispossession now presides as judge over whether the people it dispossessed still exist.</w:t>
      </w:r>
    </w:p>
    <w:p w14:paraId="58CC5CBF" w14:textId="77777777" w:rsidR="002A5FDB" w:rsidRDefault="00000000">
      <w:pPr>
        <w:spacing w:after="180" w:line="300" w:lineRule="auto"/>
        <w:jc w:val="both"/>
      </w:pPr>
      <w:r>
        <w:rPr>
          <w:color w:val="2C2C2A"/>
          <w:sz w:val="22"/>
          <w:szCs w:val="22"/>
        </w:rPr>
        <w:t>It asks the survivors to produce, in writing, the very markers the dispossession broke:</w:t>
      </w:r>
    </w:p>
    <w:p w14:paraId="58CC5CBF" w14:textId="77777777" w:rsidR="002A5FDB" w:rsidRDefault="00000000">
      <w:pPr>
        <w:spacing w:after="180" w:line="300" w:lineRule="auto"/>
        <w:ind w:left="432" w:hanging="259"/>
        <w:jc w:val="left"/>
      </w:pPr>
      <w:r>
        <w:rPr>
          <w:color w:val="2C2C2A"/>
          <w:sz w:val="22"/>
          <w:szCs w:val="22"/>
        </w:rPr>
        <w:t>•  a community that held together through the decades when the government was scattering it;</w:t>
      </w:r>
    </w:p>
    <w:p w14:paraId="58CC5CBF" w14:textId="77777777" w:rsidR="002A5FDB" w:rsidRDefault="00000000">
      <w:pPr>
        <w:spacing w:after="180" w:line="300" w:lineRule="auto"/>
        <w:ind w:left="432" w:hanging="259"/>
        <w:jc w:val="left"/>
      </w:pPr>
      <w:r>
        <w:rPr>
          <w:color w:val="2C2C2A"/>
          <w:sz w:val="22"/>
          <w:szCs w:val="22"/>
        </w:rPr>
        <w:t>•  a line of leadership that endured through the decades when federal rules were replacing Native governance;</w:t>
      </w:r>
    </w:p>
    <w:p w14:paraId="58CC5CBF" w14:textId="77777777" w:rsidR="002A5FDB" w:rsidRDefault="00000000">
      <w:pPr>
        <w:spacing w:after="180" w:line="300" w:lineRule="auto"/>
        <w:ind w:left="432" w:hanging="259"/>
        <w:jc w:val="left"/>
      </w:pPr>
      <w:r>
        <w:rPr>
          <w:color w:val="2C2C2A"/>
          <w:sz w:val="22"/>
          <w:szCs w:val="22"/>
        </w:rPr>
        <w:t>•  a documented line of descent, in a country where at least one state rewrote its records to erase Indian identity.</w:t>
      </w:r>
    </w:p>
    <w:p w14:paraId="58CC5CBF" w14:textId="77777777" w:rsidR="002A5FDB" w:rsidRDefault="00000000">
      <w:pPr>
        <w:spacing w:after="180" w:line="300" w:lineRule="auto"/>
        <w:jc w:val="both"/>
      </w:pPr>
      <w:r>
        <w:rPr>
          <w:color w:val="2C2C2A"/>
          <w:sz w:val="22"/>
          <w:szCs w:val="22"/>
        </w:rPr>
        <w:t>When a group cannot produce the records its history made so hard to keep, the Department of the Interior can return its verdict in plain administrative prose: the petitioner does not exist as an Indian tribe.</w:t>
      </w:r>
    </w:p>
    <w:p w14:paraId="7C490388" w14:textId="77777777" w:rsidR="002A5FDB" w:rsidRDefault="00000000">
      <w:pPr>
        <w:spacing w:before="220" w:after="220"/>
        <w:ind w:left="720" w:right="720"/>
        <w:jc w:val="center"/>
      </w:pPr>
      <w:r>
        <w:rPr>
          <w:b/>
          <w:bCs/>
          <w:i/>
          <w:iCs/>
          <w:color w:val="1A1A1A"/>
          <w:sz w:val="24"/>
          <w:szCs w:val="24"/>
        </w:rPr>
        <w:t>They took the proof. Then they demanded it.</w:t>
      </w:r>
    </w:p>
    <w:p w14:paraId="5B8D5A41" w14:textId="77777777" w:rsidR="002A5FDB" w:rsidRDefault="00000000">
      <w:pPr>
        <w:pStyle w:val="Heading1"/>
        <w:spacing w:after="160"/>
      </w:pPr>
      <w:r>
        <w:rPr>
          <w:b/>
          <w:bCs/>
          <w:color w:val="886912"/>
          <w:sz w:val="26"/>
          <w:szCs w:val="26"/>
        </w:rPr>
        <w:t>II. Recognition Is Not the Problem. Control Is.</w:t>
      </w:r>
    </w:p>
    <w:p w14:paraId="58CC5CBF" w14:textId="77777777" w:rsidR="002A5FDB" w:rsidRDefault="00000000">
      <w:pPr>
        <w:spacing w:after="180" w:line="300" w:lineRule="auto"/>
        <w:jc w:val="both"/>
      </w:pPr>
      <w:r>
        <w:rPr>
          <w:color w:val="2C2C2A"/>
          <w:sz w:val="22"/>
          <w:szCs w:val="22"/>
        </w:rPr>
        <w:t>Precision matters here, because the record deserves it. The Alliance for Collective Empowerment and Development does not dispute the importance of federal recognition.</w:t>
      </w:r>
    </w:p>
    <w:p w14:paraId="58CC5CBF" w14:textId="77777777" w:rsidR="002A5FDB" w:rsidRDefault="00000000">
      <w:pPr>
        <w:spacing w:after="180" w:line="300" w:lineRule="auto"/>
        <w:jc w:val="both"/>
      </w:pPr>
      <w:r>
        <w:rPr>
          <w:color w:val="2C2C2A"/>
          <w:sz w:val="22"/>
          <w:szCs w:val="22"/>
        </w:rPr>
        <w:t>Recognition is how the United States deals with a tribe as a government, and the relationship carries real weight. When Congress ended that relationship for more than one hundred tribes in the 1950s and 1960s, the federal services and protections that came with recognition ended with it.</w:t>
      </w:r>
    </w:p>
    <w:p w14:paraId="58CC5CBF" w14:textId="77777777" w:rsidR="002A5FDB" w:rsidRDefault="00000000">
      <w:pPr>
        <w:spacing w:after="180" w:line="300" w:lineRule="auto"/>
        <w:jc w:val="both"/>
      </w:pPr>
      <w:r>
        <w:rPr>
          <w:color w:val="2C2C2A"/>
          <w:sz w:val="22"/>
          <w:szCs w:val="22"/>
        </w:rPr>
        <w:t>Congress has already set out how a tribe may be recognized. In the Federally Recognized Indian Tribe List Act of 1994, it found that tribes "presently may be recognized by Act of Congress," "by the administrative procedures set forth in part 83 of the Code of Federal Regulations," or "by a decision of a United States court."</w:t>
      </w:r>
    </w:p>
    <w:p w14:paraId="58CC5CBF" w14:textId="77777777" w:rsidR="002A5FDB" w:rsidRDefault="00000000">
      <w:pPr>
        <w:spacing w:after="180" w:line="300" w:lineRule="auto"/>
        <w:jc w:val="both"/>
      </w:pPr>
      <w:r>
        <w:rPr>
          <w:color w:val="2C2C2A"/>
          <w:sz w:val="22"/>
          <w:szCs w:val="22"/>
        </w:rPr>
        <w:t>Recognition is not the problem. The injustice lies in who controls the administrative path:</w:t>
      </w:r>
    </w:p>
    <w:p w14:paraId="58CC5CBF" w14:textId="77777777" w:rsidR="002A5FDB" w:rsidRDefault="00000000">
      <w:pPr>
        <w:spacing w:after="180" w:line="300" w:lineRule="auto"/>
        <w:ind w:left="432" w:hanging="259"/>
        <w:jc w:val="left"/>
      </w:pPr>
      <w:r>
        <w:rPr>
          <w:color w:val="2C2C2A"/>
          <w:sz w:val="22"/>
          <w:szCs w:val="22"/>
        </w:rPr>
        <w:t>•  Who writes the rules? The Department of the Interior.</w:t>
      </w:r>
    </w:p>
    <w:p w14:paraId="58CC5CBF" w14:textId="77777777" w:rsidR="002A5FDB" w:rsidRDefault="00000000">
      <w:pPr>
        <w:spacing w:after="180" w:line="300" w:lineRule="auto"/>
        <w:ind w:left="432" w:hanging="259"/>
        <w:jc w:val="left"/>
      </w:pPr>
      <w:r>
        <w:rPr>
          <w:color w:val="2C2C2A"/>
          <w:sz w:val="22"/>
          <w:szCs w:val="22"/>
        </w:rPr>
        <w:t>•  Who weighs the evidence? The Department of the Interior.</w:t>
      </w:r>
    </w:p>
    <w:p w14:paraId="58CC5CBF" w14:textId="77777777" w:rsidR="002A5FDB" w:rsidRDefault="00000000">
      <w:pPr>
        <w:spacing w:after="180" w:line="300" w:lineRule="auto"/>
        <w:ind w:left="432" w:hanging="259"/>
        <w:jc w:val="left"/>
      </w:pPr>
      <w:r>
        <w:rPr>
          <w:color w:val="2C2C2A"/>
          <w:sz w:val="22"/>
          <w:szCs w:val="22"/>
        </w:rPr>
        <w:t>•  Who decides whether a people exists in federal law? The Department of the Interior.</w:t>
      </w:r>
    </w:p>
    <w:p w14:paraId="58CC5CBF" w14:textId="77777777" w:rsidR="002A5FDB" w:rsidRDefault="00000000">
      <w:pPr>
        <w:spacing w:after="180" w:line="300" w:lineRule="auto"/>
        <w:jc w:val="both"/>
      </w:pPr>
      <w:r>
        <w:rPr>
          <w:color w:val="2C2C2A"/>
          <w:sz w:val="22"/>
          <w:szCs w:val="22"/>
        </w:rPr>
        <w:t>On this path, the government whose policies broke the record sits as the judge of what the record proves. It writes the test, grades the paper, and counts the gaps its own policies left as the petitioner's failure.</w:t>
      </w:r>
    </w:p>
    <w:p w14:paraId="5B8D5A41" w14:textId="77777777" w:rsidR="002A5FDB" w:rsidRDefault="00000000">
      <w:pPr>
        <w:pStyle w:val="Heading1"/>
        <w:spacing w:after="160"/>
      </w:pPr>
      <w:r>
        <w:rPr>
          <w:b/>
          <w:bCs/>
          <w:color w:val="886912"/>
          <w:sz w:val="26"/>
          <w:szCs w:val="26"/>
        </w:rPr>
        <w:t>III. The Test</w:t>
      </w:r>
    </w:p>
    <w:p w14:paraId="58CC5CBF" w14:textId="77777777" w:rsidR="002A5FDB" w:rsidRDefault="00000000">
      <w:pPr>
        <w:spacing w:after="180" w:line="300" w:lineRule="auto"/>
        <w:jc w:val="both"/>
      </w:pPr>
      <w:r>
        <w:rPr>
          <w:color w:val="2C2C2A"/>
          <w:sz w:val="22"/>
          <w:szCs w:val="22"/>
        </w:rPr>
        <w:t>The administrative path is written in Title 25 of the Code of Federal Regulations, Part 83. A petitioning group must satisfy seven criteria. All seven are mandatory. Fail one, and the petition fails.</w:t>
      </w:r>
    </w:p>
    <w:p w14:paraId="58CC5CBF" w14:textId="77777777" w:rsidR="002A5FDB" w:rsidRDefault="00000000">
      <w:pPr>
        <w:spacing w:after="180" w:line="300" w:lineRule="auto"/>
        <w:jc w:val="both"/>
      </w:pPr>
      <w:r>
        <w:rPr>
          <w:b/>
          <w:color w:val="2C2C2A"/>
          <w:sz w:val="22"/>
          <w:szCs w:val="22"/>
        </w:rPr>
        <w:t>(a) The Gaze of the Outsider (Identification).</w:t>
      </w:r>
      <w:r>
        <w:rPr>
          <w:color w:val="2C2C2A"/>
          <w:sz w:val="22"/>
          <w:szCs w:val="22"/>
        </w:rPr>
        <w:t xml:space="preserve"> The group must show it has been identified as an American Indian entity "on a substantially continuous basis since 1900." The rule accepts identification by federal, state, and local authorities, by scholars, by newspapers and books, by other tribes, and by the group itself. Every one of those sources must be found, in writing, for each period across more than a century. Where others failed to write a people down, the gap counts against the people.</w:t>
      </w:r>
    </w:p>
    <w:p w14:paraId="58CC5CBF" w14:textId="77777777" w:rsidR="002A5FDB" w:rsidRDefault="00000000">
      <w:pPr>
        <w:spacing w:after="180" w:line="300" w:lineRule="auto"/>
        <w:jc w:val="both"/>
      </w:pPr>
      <w:r>
        <w:rPr>
          <w:b/>
          <w:color w:val="2C2C2A"/>
          <w:sz w:val="22"/>
          <w:szCs w:val="22"/>
        </w:rPr>
        <w:t>(b) The Enforced Perimeter (Distinct Community).</w:t>
      </w:r>
      <w:r>
        <w:rPr>
          <w:color w:val="2C2C2A"/>
          <w:sz w:val="22"/>
          <w:szCs w:val="22"/>
        </w:rPr>
        <w:t xml:space="preserve"> The group must show it has existed as a distinct community from 1900 to the present, through evidence such as marriage patterns, shared labor, shared ritual, social ties, or the discrimination it suffered from outsiders. It asks for proof of social cohesion across the same century in which federal policy removed children to distant schools and broke up communal land.</w:t>
      </w:r>
    </w:p>
    <w:p w14:paraId="58CC5CBF" w14:textId="77777777" w:rsidR="002A5FDB" w:rsidRDefault="00000000">
      <w:pPr>
        <w:spacing w:after="180" w:line="300" w:lineRule="auto"/>
        <w:jc w:val="both"/>
      </w:pPr>
      <w:r>
        <w:rPr>
          <w:b/>
          <w:color w:val="2C2C2A"/>
          <w:sz w:val="22"/>
          <w:szCs w:val="22"/>
        </w:rPr>
        <w:t>(c) The Paper Trail of Authority (Political Influence).</w:t>
      </w:r>
      <w:r>
        <w:rPr>
          <w:color w:val="2C2C2A"/>
          <w:sz w:val="22"/>
          <w:szCs w:val="22"/>
        </w:rPr>
        <w:t xml:space="preserve"> The group must show it has governed its own members as an autonomous entity from 1900 to the present: that leaders settled disputes, allocated land or resources, organized members, and were followed. The rule accepts many kinds of evidence. Each must still be documented, decade by decade, for communities whose leadership often lived in kinship, consensus, and memory rather than in minutes and rosters. Kinship leaves memories. The process asks for paper.</w:t>
      </w:r>
    </w:p>
    <w:p w14:paraId="58CC5CBF" w14:textId="77777777" w:rsidR="002A5FDB" w:rsidRDefault="00000000">
      <w:pPr>
        <w:spacing w:after="180" w:line="300" w:lineRule="auto"/>
        <w:jc w:val="both"/>
      </w:pPr>
      <w:r>
        <w:rPr>
          <w:b/>
          <w:color w:val="2C2C2A"/>
          <w:sz w:val="22"/>
          <w:szCs w:val="22"/>
        </w:rPr>
        <w:t>(d) The Modern Rulebook (Governing Document).</w:t>
      </w:r>
      <w:r>
        <w:rPr>
          <w:color w:val="2C2C2A"/>
          <w:sz w:val="22"/>
          <w:szCs w:val="22"/>
        </w:rPr>
        <w:t xml:space="preserve"> The group must submit its governing document, including its membership criteria, or, if it has none, a written statement of how it defines membership and how it governs itself.</w:t>
      </w:r>
    </w:p>
    <w:p w14:paraId="58CC5CBF" w14:textId="77777777" w:rsidR="002A5FDB" w:rsidRDefault="00000000">
      <w:pPr>
        <w:spacing w:after="180" w:line="300" w:lineRule="auto"/>
        <w:jc w:val="both"/>
      </w:pPr>
      <w:r>
        <w:rPr>
          <w:b/>
          <w:color w:val="2C2C2A"/>
          <w:sz w:val="22"/>
          <w:szCs w:val="22"/>
        </w:rPr>
        <w:t>(e) The Authorized Pedigree (Descent).</w:t>
      </w:r>
      <w:r>
        <w:rPr>
          <w:color w:val="2C2C2A"/>
          <w:sz w:val="22"/>
          <w:szCs w:val="22"/>
        </w:rPr>
        <w:t xml:space="preserve"> The members must descend from a historical Indian tribe, or from tribes that combined into one. Indian ancestry alone is not enough. It must be traced to a tribe the Department's reviewers accept as historical.</w:t>
      </w:r>
    </w:p>
    <w:p w14:paraId="58CC5CBF" w14:textId="77777777" w:rsidR="002A5FDB" w:rsidRDefault="00000000">
      <w:pPr>
        <w:spacing w:after="180" w:line="300" w:lineRule="auto"/>
        <w:jc w:val="both"/>
      </w:pPr>
      <w:r>
        <w:rPr>
          <w:b/>
          <w:color w:val="2C2C2A"/>
          <w:sz w:val="22"/>
          <w:szCs w:val="22"/>
        </w:rPr>
        <w:t>(f) Exclusive Membership (Unique Membership).</w:t>
      </w:r>
      <w:r>
        <w:rPr>
          <w:color w:val="2C2C2A"/>
          <w:sz w:val="22"/>
          <w:szCs w:val="22"/>
        </w:rPr>
        <w:t xml:space="preserve"> The membership may not be made up principally of people already enrolled in another federally recognized tribe.</w:t>
      </w:r>
    </w:p>
    <w:p w14:paraId="58CC5CBF" w14:textId="77777777" w:rsidR="002A5FDB" w:rsidRDefault="00000000">
      <w:pPr>
        <w:spacing w:after="180" w:line="300" w:lineRule="auto"/>
        <w:jc w:val="both"/>
      </w:pPr>
      <w:r>
        <w:rPr>
          <w:b/>
          <w:color w:val="2C2C2A"/>
          <w:sz w:val="22"/>
          <w:szCs w:val="22"/>
        </w:rPr>
        <w:t>(g) The Closed Door (No Termination).</w:t>
      </w:r>
      <w:r>
        <w:rPr>
          <w:color w:val="2C2C2A"/>
          <w:sz w:val="22"/>
          <w:szCs w:val="22"/>
        </w:rPr>
        <w:t xml:space="preserve"> Congress must not have passed a law ending or forbidding a federal relationship with the group. The Department decides this criterion itself. No evidence the group could offer can change it.</w:t>
      </w:r>
    </w:p>
    <w:p w14:paraId="58CC5CBF" w14:textId="77777777" w:rsidR="002A5FDB" w:rsidRDefault="00000000">
      <w:pPr>
        <w:spacing w:after="180" w:line="300" w:lineRule="auto"/>
        <w:jc w:val="both"/>
      </w:pPr>
      <w:r>
        <w:rPr>
          <w:color w:val="2C2C2A"/>
          <w:sz w:val="22"/>
          <w:szCs w:val="22"/>
        </w:rPr>
        <w:t>The Department's own figures show what the test produces. In its 2015 rule, it reported: "Of the 51 petitions resolved since this process began," seventeen were approved and thirty-four were denied. It acknowledged in the same rule that "a petition can take decades to be decided." The Department's own acknowledgment office has reported administrative records for some petitions "in excess of 30,000 pages." One legal analysis now puts a fully documented petition at a size that "typically approaches 200,000 pages."</w:t>
      </w:r>
    </w:p>
    <w:p w14:paraId="58CC5CBF" w14:textId="77777777" w:rsidR="002A5FDB" w:rsidRDefault="00000000">
      <w:pPr>
        <w:spacing w:after="180" w:line="300" w:lineRule="auto"/>
        <w:jc w:val="both"/>
      </w:pPr>
      <w:r>
        <w:rPr>
          <w:color w:val="2C2C2A"/>
          <w:sz w:val="22"/>
          <w:szCs w:val="22"/>
        </w:rPr>
        <w:t>It is a trial in which survival itself must be proven, and every missing page counts against the survivor.</w:t>
      </w:r>
    </w:p>
    <w:p w14:paraId="5B8D5A41" w14:textId="77777777" w:rsidR="002A5FDB" w:rsidRDefault="00000000">
      <w:pPr>
        <w:pStyle w:val="Heading1"/>
        <w:spacing w:after="160"/>
      </w:pPr>
      <w:r>
        <w:rPr>
          <w:b/>
          <w:bCs/>
          <w:color w:val="886912"/>
          <w:sz w:val="26"/>
          <w:szCs w:val="26"/>
        </w:rPr>
        <w:t>IV. The Judge</w:t>
      </w:r>
    </w:p>
    <w:p w14:paraId="58CC5CBF" w14:textId="77777777" w:rsidR="002A5FDB" w:rsidRDefault="00000000">
      <w:pPr>
        <w:spacing w:after="180" w:line="300" w:lineRule="auto"/>
        <w:jc w:val="both"/>
      </w:pPr>
      <w:r>
        <w:rPr>
          <w:color w:val="2C2C2A"/>
          <w:sz w:val="22"/>
          <w:szCs w:val="22"/>
        </w:rPr>
        <w:t>Look plainly at who holds each part of the process.</w:t>
      </w:r>
    </w:p>
    <w:p w14:paraId="58CC5CBF" w14:textId="77777777" w:rsidR="002A5FDB" w:rsidRDefault="00000000">
      <w:pPr>
        <w:spacing w:after="180" w:line="300" w:lineRule="auto"/>
        <w:jc w:val="both"/>
      </w:pPr>
      <w:r>
        <w:rPr>
          <w:color w:val="2C2C2A"/>
          <w:sz w:val="22"/>
          <w:szCs w:val="22"/>
        </w:rPr>
        <w:t>The Department of the Interior wrote the criteria. The Department's reviewers weigh the evidence. The Department issues the decision. The petitioning group carries the entire burden of proof.</w:t>
      </w:r>
    </w:p>
    <w:p w14:paraId="58CC5CBF" w14:textId="77777777" w:rsidR="002A5FDB" w:rsidRDefault="00000000">
      <w:pPr>
        <w:spacing w:after="180" w:line="300" w:lineRule="auto"/>
        <w:jc w:val="both"/>
      </w:pPr>
      <w:r>
        <w:rPr>
          <w:color w:val="2C2C2A"/>
          <w:sz w:val="22"/>
          <w:szCs w:val="22"/>
        </w:rPr>
        <w:t>Look, too, at the starting line. The Department chose 1900, and in its 2015 rule it explained the choice. In its own words, 1900 falls "squarely during a particularly difficult Federal policy era for tribes." Its reasoning was that a community able to show itself across that era could be trusted to have existed across all of history.</w:t>
      </w:r>
    </w:p>
    <w:p w14:paraId="58CC5CBF" w14:textId="77777777" w:rsidR="002A5FDB" w:rsidRDefault="00000000">
      <w:pPr>
        <w:spacing w:after="180" w:line="300" w:lineRule="auto"/>
        <w:jc w:val="both"/>
      </w:pPr>
      <w:r>
        <w:rPr>
          <w:color w:val="2C2C2A"/>
          <w:sz w:val="22"/>
          <w:szCs w:val="22"/>
        </w:rPr>
        <w:t>"Particularly difficult" is the Department's phrase. The record gives it content. 1900 fell within the allotment period, when communal tribal land was broken into individual parcels and Native landholdings fell from 138 million acres in 1887 to 48 million acres by 1934. It fell within the boarding school era, when children were removed from their families. It fell within the years when federal rules banned traditional ceremonies. The Department chose that era as the place a people must prove itself from.</w:t>
      </w:r>
    </w:p>
    <w:p w14:paraId="58CC5CBF" w14:textId="77777777" w:rsidR="002A5FDB" w:rsidRDefault="00000000">
      <w:pPr>
        <w:spacing w:after="180" w:line="300" w:lineRule="auto"/>
        <w:jc w:val="both"/>
      </w:pPr>
      <w:r>
        <w:rPr>
          <w:color w:val="2C2C2A"/>
          <w:sz w:val="22"/>
          <w:szCs w:val="22"/>
        </w:rPr>
        <w:t>The logic runs in one direction only. The people must prove they outlasted the government's pressure. The government is never asked to prove anything.</w:t>
      </w:r>
    </w:p>
    <w:p w14:paraId="58CC5CBF" w14:textId="77777777" w:rsidR="002A5FDB" w:rsidRDefault="00000000">
      <w:pPr>
        <w:spacing w:after="180" w:line="300" w:lineRule="auto"/>
        <w:jc w:val="both"/>
      </w:pPr>
      <w:r>
        <w:rPr>
          <w:color w:val="2C2C2A"/>
          <w:sz w:val="22"/>
          <w:szCs w:val="22"/>
        </w:rPr>
        <w:t>The party that did the harm sits on the bench. The party that was harmed stands at the bar, asked to prove its own name.</w:t>
      </w:r>
    </w:p>
    <w:p w14:paraId="5B8D5A41" w14:textId="77777777" w:rsidR="002A5FDB" w:rsidRDefault="00000000">
      <w:pPr>
        <w:pStyle w:val="Heading1"/>
        <w:spacing w:after="160"/>
      </w:pPr>
      <w:r>
        <w:rPr>
          <w:b/>
          <w:bCs/>
          <w:color w:val="886912"/>
          <w:sz w:val="26"/>
          <w:szCs w:val="26"/>
        </w:rPr>
        <w:t>V. Recognized Before the Test: The Chitimacha</w:t>
      </w:r>
    </w:p>
    <w:p w14:paraId="58CC5CBF" w14:textId="77777777" w:rsidR="002A5FDB" w:rsidRDefault="00000000">
      <w:pPr>
        <w:spacing w:after="180" w:line="300" w:lineRule="auto"/>
        <w:jc w:val="both"/>
      </w:pPr>
      <w:r>
        <w:rPr>
          <w:color w:val="2C2C2A"/>
          <w:sz w:val="22"/>
          <w:szCs w:val="22"/>
        </w:rPr>
        <w:t>At the time of contact, the Chitimacha were among the most powerful nations of the Gulf Coast. Their lands covered the Atchafalaya Basin and reached west toward present-day Lafayette, south to the Gulf of Mexico, and east toward New Orleans.</w:t>
      </w:r>
    </w:p>
    <w:p w14:paraId="58CC5CBF" w14:textId="77777777" w:rsidR="002A5FDB" w:rsidRDefault="00000000">
      <w:pPr>
        <w:spacing w:after="180" w:line="300" w:lineRule="auto"/>
        <w:jc w:val="both"/>
      </w:pPr>
      <w:r>
        <w:rPr>
          <w:color w:val="2C2C2A"/>
          <w:sz w:val="22"/>
          <w:szCs w:val="22"/>
        </w:rPr>
        <w:t>From 1706 to 1718, they fought a twelve-year war against the French. Many Chitimacha were captured and forced into slavery. The Tribe's own history records that the war ended only after "the majority of the tribal members were annihilated."</w:t>
      </w:r>
    </w:p>
    <w:p w14:paraId="58CC5CBF" w14:textId="77777777" w:rsidR="002A5FDB" w:rsidRDefault="00000000">
      <w:pPr>
        <w:spacing w:after="180" w:line="300" w:lineRule="auto"/>
        <w:jc w:val="both"/>
      </w:pPr>
      <w:r>
        <w:rPr>
          <w:color w:val="2C2C2A"/>
          <w:sz w:val="22"/>
          <w:szCs w:val="22"/>
        </w:rPr>
        <w:t>The land went next. By the Tribe's own record, it claimed about 5,440 acres along Bayou Teche in 1826. By 1846, it had to sue the federal government to confirm title to 1,093 acres. By the early 1900s, about 261 acres remained. In 1916, with the help of a private benefactor, those last acres were placed in federal trust, and the Chitimacha have been federally recognized since that year. Today the Tribe has about 1,300 enrolled members, and its reservation near Charenton covers about 963 acres, about 445 of them in trust. Its last two fluent speakers died in 1932 and 1940. The Tribe has since brought the language back into its own school.</w:t>
      </w:r>
    </w:p>
    <w:p w14:paraId="58CC5CBF" w14:textId="77777777" w:rsidR="002A5FDB" w:rsidRDefault="00000000">
      <w:pPr>
        <w:spacing w:after="180" w:line="300" w:lineRule="auto"/>
        <w:jc w:val="both"/>
      </w:pPr>
      <w:r>
        <w:rPr>
          <w:color w:val="2C2C2A"/>
          <w:sz w:val="22"/>
          <w:szCs w:val="22"/>
        </w:rPr>
        <w:t>A people who survived a war of annihilation, enslavement, and the loss of nearly all its homeland is recognized today. Recognition did not undo what was done to it. What it shows is something else. The Chitimacha were recognized in 1916, sixty-two years before the administrative test existed. They never had to pass it.</w:t>
      </w:r>
    </w:p>
    <w:p w14:paraId="58CC5CBF" w14:textId="77777777" w:rsidR="002A5FDB" w:rsidRDefault="00000000">
      <w:pPr>
        <w:spacing w:after="180" w:line="300" w:lineRule="auto"/>
        <w:jc w:val="both"/>
      </w:pPr>
      <w:r>
        <w:rPr>
          <w:color w:val="2C2C2A"/>
          <w:sz w:val="22"/>
          <w:szCs w:val="22"/>
        </w:rPr>
        <w:t>Then the test arrived, and the Chitimacha were put to a different use. In 1994, when the Department ruled against the Houma, its finding named "the Tunica-Biloxi, Chitimacha, and Mississippi Choctaw" as "good examples of groups which were able to sustain" their existence as tribes, and placed the Houma's ancestors in the other category.</w:t>
      </w:r>
    </w:p>
    <w:p w14:paraId="58CC5CBF" w14:textId="77777777" w:rsidR="002A5FDB" w:rsidRDefault="00000000">
      <w:pPr>
        <w:spacing w:after="180" w:line="300" w:lineRule="auto"/>
        <w:jc w:val="both"/>
      </w:pPr>
      <w:r>
        <w:rPr>
          <w:color w:val="2C2C2A"/>
          <w:sz w:val="22"/>
          <w:szCs w:val="22"/>
        </w:rPr>
        <w:t>The judge held up one survivor to condemn another. This paper speaks for neither people. It notes only who held the measuring stick.</w:t>
      </w:r>
    </w:p>
    <w:p w14:paraId="5B8D5A41" w14:textId="77777777" w:rsidR="002A5FDB" w:rsidRDefault="00000000">
      <w:pPr>
        <w:pStyle w:val="Heading1"/>
        <w:spacing w:after="160"/>
      </w:pPr>
      <w:r>
        <w:rPr>
          <w:b/>
          <w:bCs/>
          <w:color w:val="886912"/>
          <w:sz w:val="26"/>
          <w:szCs w:val="26"/>
        </w:rPr>
        <w:t>VI. One Case: The Houma</w:t>
      </w:r>
    </w:p>
    <w:p w14:paraId="58CC5CBF" w14:textId="77777777" w:rsidR="002A5FDB" w:rsidRDefault="00000000">
      <w:pPr>
        <w:spacing w:after="180" w:line="300" w:lineRule="auto"/>
        <w:jc w:val="both"/>
      </w:pPr>
      <w:r>
        <w:rPr>
          <w:color w:val="2C2C2A"/>
          <w:sz w:val="22"/>
          <w:szCs w:val="22"/>
        </w:rPr>
        <w:t>Not far from the Chitimacha, the United Houma Nation, of coastal Louisiana, petitioned for federal acknowledgment on July 10, 1979. Fifteen years later, in 1994, the Department issued a proposed finding against it. The finding concluded that the petitioner did not meet three of the seven criteria: community, political authority, and descent.</w:t>
      </w:r>
    </w:p>
    <w:p w14:paraId="58CC5CBF" w14:textId="77777777" w:rsidR="002A5FDB" w:rsidRDefault="00000000">
      <w:pPr>
        <w:spacing w:after="180" w:line="300" w:lineRule="auto"/>
        <w:jc w:val="both"/>
      </w:pPr>
      <w:r>
        <w:rPr>
          <w:color w:val="2C2C2A"/>
          <w:sz w:val="22"/>
          <w:szCs w:val="22"/>
        </w:rPr>
        <w:t>Within that same finding sits this sentence:</w:t>
      </w:r>
    </w:p>
    <w:p w14:paraId="58CC5CBF" w14:textId="77777777" w:rsidR="002A5FDB" w:rsidRDefault="00000000">
      <w:pPr>
        <w:spacing w:after="180" w:line="300" w:lineRule="auto"/>
        <w:jc w:val="both"/>
      </w:pPr>
      <w:r>
        <w:rPr>
          <w:color w:val="2C2C2A"/>
          <w:sz w:val="22"/>
          <w:szCs w:val="22"/>
        </w:rPr>
        <w:t>"Indian ancestry can be verified for the petitioner without doubt or question."</w:t>
      </w:r>
    </w:p>
    <w:p w14:paraId="58CC5CBF" w14:textId="77777777" w:rsidR="002A5FDB" w:rsidRDefault="00000000">
      <w:pPr>
        <w:spacing w:after="180" w:line="300" w:lineRule="auto"/>
        <w:jc w:val="both"/>
      </w:pPr>
      <w:r>
        <w:rPr>
          <w:color w:val="2C2C2A"/>
          <w:sz w:val="22"/>
          <w:szCs w:val="22"/>
        </w:rPr>
        <w:t>Read it beside what follows. The Department found "no evidence that any of the Indian individuals in the UHN ancestral community originated in the historical Houma," and it could not tie their ancestry to any other historical tribe.</w:t>
      </w:r>
    </w:p>
    <w:p w14:paraId="58CC5CBF" w14:textId="77777777" w:rsidR="002A5FDB" w:rsidRDefault="00000000">
      <w:pPr>
        <w:spacing w:after="180" w:line="300" w:lineRule="auto"/>
        <w:jc w:val="both"/>
      </w:pPr>
      <w:r>
        <w:rPr>
          <w:color w:val="2C2C2A"/>
          <w:sz w:val="22"/>
          <w:szCs w:val="22"/>
        </w:rPr>
        <w:t>Set the two side by side. The government did not doubt that these were Indian people. It accepted that "without doubt or question." What it would not accept was that they descended from a tribe it was prepared to call historical. The proposed finding was never made final, and as of the most recent reporting, the Houma remain without federal acknowledgment.</w:t>
      </w:r>
    </w:p>
    <w:p w14:paraId="58CC5CBF" w14:textId="77777777" w:rsidR="002A5FDB" w:rsidRDefault="00000000">
      <w:pPr>
        <w:spacing w:after="180" w:line="300" w:lineRule="auto"/>
        <w:jc w:val="both"/>
      </w:pPr>
      <w:r>
        <w:rPr>
          <w:color w:val="2C2C2A"/>
          <w:sz w:val="22"/>
          <w:szCs w:val="22"/>
        </w:rPr>
        <w:t>This paper does not speak for the Houma. Their history and their sovereignty belong to them. What belongs to the record is the test they were made to pass, and who held the pen.</w:t>
      </w:r>
    </w:p>
    <w:p w14:paraId="5B8D5A41" w14:textId="77777777" w:rsidR="002A5FDB" w:rsidRDefault="00000000">
      <w:pPr>
        <w:pStyle w:val="Heading1"/>
        <w:spacing w:after="160"/>
      </w:pPr>
      <w:r>
        <w:rPr>
          <w:b/>
          <w:bCs/>
          <w:color w:val="886912"/>
          <w:sz w:val="26"/>
          <w:szCs w:val="26"/>
        </w:rPr>
        <w:t>VII. The Ledger</w:t>
      </w:r>
    </w:p>
    <w:p w14:paraId="58CC5CBF" w14:textId="77777777" w:rsidR="002A5FDB" w:rsidRDefault="00000000">
      <w:pPr>
        <w:spacing w:after="180" w:line="300" w:lineRule="auto"/>
        <w:jc w:val="both"/>
      </w:pPr>
      <w:r>
        <w:rPr>
          <w:color w:val="2C2C2A"/>
          <w:sz w:val="22"/>
          <w:szCs w:val="22"/>
        </w:rPr>
        <w:t>Federal recognition is not a symbolic badge. It is a government-to-government relationship, and that relationship carries obligations. When the relationship ends, the obligations end with it.</w:t>
      </w:r>
    </w:p>
    <w:p w14:paraId="58CC5CBF" w14:textId="77777777" w:rsidR="002A5FDB" w:rsidRDefault="00000000">
      <w:pPr>
        <w:spacing w:after="180" w:line="300" w:lineRule="auto"/>
        <w:jc w:val="both"/>
      </w:pPr>
      <w:r>
        <w:rPr>
          <w:color w:val="2C2C2A"/>
          <w:sz w:val="22"/>
          <w:szCs w:val="22"/>
        </w:rPr>
        <w:t>This is not conjecture. It is legislative history. In 1953, Congress adopted House Concurrent Resolution 108. It declared the policy of Congress to make Indians subject to the same laws as other citizens "as rapidly as possible," and "to end their status as wards of the United States." In the years that followed, more than one hundred tribes were terminated, and the federal services and protections that came with recognition ended with them.</w:t>
      </w:r>
    </w:p>
    <w:p w14:paraId="58CC5CBF" w14:textId="77777777" w:rsidR="002A5FDB" w:rsidRDefault="00000000">
      <w:pPr>
        <w:spacing w:after="180" w:line="300" w:lineRule="auto"/>
        <w:jc w:val="both"/>
      </w:pPr>
      <w:r>
        <w:rPr>
          <w:color w:val="2C2C2A"/>
          <w:sz w:val="22"/>
          <w:szCs w:val="22"/>
        </w:rPr>
        <w:t>Forty-one years after that resolution, Congress wrote into law that a tribe once recognized "may not be terminated except by an Act of Congress." By then, Congress had already done exactly that, to more than one hundred tribes.</w:t>
      </w:r>
    </w:p>
    <w:p w14:paraId="58CC5CBF" w14:textId="77777777" w:rsidR="002A5FDB" w:rsidRDefault="00000000">
      <w:pPr>
        <w:spacing w:after="180" w:line="300" w:lineRule="auto"/>
        <w:jc w:val="both"/>
      </w:pPr>
      <w:r>
        <w:rPr>
          <w:color w:val="2C2C2A"/>
          <w:sz w:val="22"/>
          <w:szCs w:val="22"/>
        </w:rPr>
        <w:t>The arithmetic follows from the structure. Every people recognized is an obligation the government carries. Every petition denied or left undecided, and every tribe terminated, is an obligation it does not carry. The system does not need anyone inside it to intend that result. The structure produces it on its own.</w:t>
      </w:r>
    </w:p>
    <w:p w14:paraId="5B8D5A41" w14:textId="77777777" w:rsidR="002A5FDB" w:rsidRDefault="00000000">
      <w:pPr>
        <w:pStyle w:val="Heading1"/>
        <w:spacing w:after="160"/>
      </w:pPr>
      <w:r>
        <w:rPr>
          <w:b/>
          <w:bCs/>
          <w:color w:val="886912"/>
          <w:sz w:val="26"/>
          <w:szCs w:val="26"/>
        </w:rPr>
        <w:t>VIII. The Same Design, Twice</w:t>
      </w:r>
    </w:p>
    <w:p w14:paraId="58CC5CBF" w14:textId="77777777" w:rsidR="002A5FDB" w:rsidRDefault="00000000">
      <w:pPr>
        <w:spacing w:after="180" w:line="300" w:lineRule="auto"/>
        <w:jc w:val="both"/>
      </w:pPr>
      <w:r>
        <w:rPr>
          <w:color w:val="2C2C2A"/>
          <w:sz w:val="22"/>
          <w:szCs w:val="22"/>
        </w:rPr>
        <w:t>Black Americans know this design from the other side.</w:t>
      </w:r>
    </w:p>
    <w:p w14:paraId="58CC5CBF" w14:textId="77777777" w:rsidR="002A5FDB" w:rsidRDefault="00000000">
      <w:pPr>
        <w:spacing w:after="180" w:line="300" w:lineRule="auto"/>
        <w:jc w:val="both"/>
      </w:pPr>
      <w:r>
        <w:rPr>
          <w:color w:val="2C2C2A"/>
          <w:sz w:val="22"/>
          <w:szCs w:val="22"/>
        </w:rPr>
        <w:t>The people carried here in bondage were stripped of their names by the men who owned them. Those men sold their families apart and set out to destroy the culture the enslaved had carried with them. Colonial law banned their drums. Their faith was driven underground, and their languages gave way. The thread back to Africa was cut, and the cutting was maintained for centuries. Their descendants cannot trace a line to a single nation of origin, because the line was severed on purpose.</w:t>
      </w:r>
    </w:p>
    <w:p w14:paraId="58CC5CBF" w14:textId="77777777" w:rsidR="002A5FDB" w:rsidRDefault="00000000">
      <w:pPr>
        <w:spacing w:after="180" w:line="300" w:lineRule="auto"/>
        <w:jc w:val="both"/>
      </w:pPr>
      <w:r>
        <w:rPr>
          <w:color w:val="2C2C2A"/>
          <w:sz w:val="22"/>
          <w:szCs w:val="22"/>
        </w:rPr>
        <w:t>The design did two things to two peoples. From one, it took the thread entirely. From the other, it took enough that whatever thread remained could be ruled insufficient.</w:t>
      </w:r>
    </w:p>
    <w:p w14:paraId="58CC5CBF" w14:textId="77777777" w:rsidR="002A5FDB" w:rsidRDefault="00000000">
      <w:pPr>
        <w:spacing w:after="180" w:line="300" w:lineRule="auto"/>
        <w:jc w:val="both"/>
      </w:pPr>
      <w:r>
        <w:rPr>
          <w:color w:val="2C2C2A"/>
          <w:sz w:val="22"/>
          <w:szCs w:val="22"/>
        </w:rPr>
        <w:t>The burden of proof has followed the same pattern wherever the record reaches.</w:t>
      </w:r>
    </w:p>
    <w:p w14:paraId="58CC5CBF" w14:textId="77777777" w:rsidR="002A5FDB" w:rsidRDefault="00000000">
      <w:pPr>
        <w:spacing w:after="180" w:line="300" w:lineRule="auto"/>
        <w:jc w:val="both"/>
      </w:pPr>
      <w:r>
        <w:rPr>
          <w:color w:val="2C2C2A"/>
          <w:sz w:val="22"/>
          <w:szCs w:val="22"/>
        </w:rPr>
        <w:t>In 1865, Mississippi required every freedman to hold, each January, written evidence of a lawful home or employment, or be treated as a vagrant. A freedman convicted under its laws who could not pay his fine could be hired out by the sheriff to any white person who would pay it.</w:t>
      </w:r>
    </w:p>
    <w:p w14:paraId="58CC5CBF" w14:textId="77777777" w:rsidR="002A5FDB" w:rsidRDefault="00000000">
      <w:pPr>
        <w:spacing w:after="180" w:line="300" w:lineRule="auto"/>
        <w:jc w:val="both"/>
      </w:pPr>
      <w:r>
        <w:rPr>
          <w:color w:val="2C2C2A"/>
          <w:sz w:val="22"/>
          <w:szCs w:val="22"/>
        </w:rPr>
        <w:t>In 1977, in Village of Arlington Heights, the Supreme Court held that disproportionate impact alone does not make official action unconstitutional: "Proof of racially discriminatory intent or purpose is required."</w:t>
      </w:r>
    </w:p>
    <w:p w14:paraId="58CC5CBF" w14:textId="77777777" w:rsidR="002A5FDB" w:rsidRDefault="00000000">
      <w:pPr>
        <w:spacing w:after="180" w:line="300" w:lineRule="auto"/>
        <w:jc w:val="both"/>
      </w:pPr>
      <w:r>
        <w:rPr>
          <w:color w:val="2C2C2A"/>
          <w:sz w:val="22"/>
          <w:szCs w:val="22"/>
        </w:rPr>
        <w:t>In 2011, the federal investigation of the Gretna bridge blockade, where evacuees fleeing New Orleans after Hurricane Katrina, overwhelmingly Black, were turned back by armed officers, closed without prosecution. The evidence was "insufficient to prove" the "requisite specific intent."</w:t>
      </w:r>
    </w:p>
    <w:p w14:paraId="58CC5CBF" w14:textId="77777777" w:rsidR="002A5FDB" w:rsidRDefault="00000000">
      <w:pPr>
        <w:spacing w:after="180" w:line="300" w:lineRule="auto"/>
        <w:jc w:val="both"/>
      </w:pPr>
      <w:r>
        <w:rPr>
          <w:color w:val="2C2C2A"/>
          <w:sz w:val="22"/>
          <w:szCs w:val="22"/>
        </w:rPr>
        <w:t>In every era the record reaches, the pattern holds: the people harmed must prove the harm, on paper, to the system that caused it.</w:t>
      </w:r>
    </w:p>
    <w:p w14:paraId="5B8D5A41" w14:textId="77777777" w:rsidR="002A5FDB" w:rsidRDefault="00000000">
      <w:pPr>
        <w:pStyle w:val="Heading1"/>
        <w:spacing w:after="160"/>
      </w:pPr>
      <w:r>
        <w:rPr>
          <w:b/>
          <w:bCs/>
          <w:color w:val="886912"/>
          <w:sz w:val="26"/>
          <w:szCs w:val="26"/>
        </w:rPr>
        <w:t>IX. Why Partnership</w:t>
      </w:r>
    </w:p>
    <w:p w14:paraId="58CC5CBF" w14:textId="77777777" w:rsidR="002A5FDB" w:rsidRDefault="00000000">
      <w:pPr>
        <w:spacing w:after="180" w:line="300" w:lineRule="auto"/>
        <w:jc w:val="both"/>
      </w:pPr>
      <w:r>
        <w:rPr>
          <w:color w:val="2C2C2A"/>
          <w:sz w:val="22"/>
          <w:szCs w:val="22"/>
        </w:rPr>
        <w:t>Two peoples have been put through the same test by the same judge. Neither will win by appealing to that judge again.</w:t>
      </w:r>
    </w:p>
    <w:p w14:paraId="58CC5CBF" w14:textId="77777777" w:rsidR="002A5FDB" w:rsidRDefault="00000000">
      <w:pPr>
        <w:spacing w:after="180" w:line="300" w:lineRule="auto"/>
        <w:jc w:val="both"/>
      </w:pPr>
      <w:r>
        <w:rPr>
          <w:color w:val="2C2C2A"/>
          <w:sz w:val="22"/>
          <w:szCs w:val="22"/>
        </w:rPr>
        <w:t>That is the foundation of the partnership the Alliance for Collective Empowerment and Development proposes with tribal nations. It is built between the peoples themselves, on terms they set together, as partners and not as petitioners.</w:t>
      </w:r>
    </w:p>
    <w:p w14:paraId="58CC5CBF" w14:textId="77777777" w:rsidR="002A5FDB" w:rsidRDefault="00000000">
      <w:pPr>
        <w:spacing w:after="180" w:line="300" w:lineRule="auto"/>
        <w:jc w:val="both"/>
      </w:pPr>
      <w:r>
        <w:rPr>
          <w:color w:val="2C2C2A"/>
          <w:sz w:val="22"/>
          <w:szCs w:val="22"/>
        </w:rPr>
        <w:t>ACE does not ask the Department of the Interior to apply Part 83 to Black Americans, and it does not claim eligibility under it. Its land claim goes to Congress, by the path the 1994 Act itself names: an Act of Congress.</w:t>
      </w:r>
    </w:p>
    <w:p w14:paraId="58CC5CBF" w14:textId="77777777" w:rsidR="002A5FDB" w:rsidRDefault="00000000">
      <w:pPr>
        <w:spacing w:after="180" w:line="300" w:lineRule="auto"/>
        <w:jc w:val="both"/>
      </w:pPr>
      <w:r>
        <w:rPr>
          <w:color w:val="2C2C2A"/>
          <w:sz w:val="22"/>
          <w:szCs w:val="22"/>
        </w:rPr>
        <w:t>Even peoples whose continuity the law never set out to erase are made to prove that continuity to the judge, page by page. A people whose continuity the law deliberately destroyed cannot be asked to prove it at all. That is why ACE does not stand before the Department. It asks Congress to act on its own authority.</w:t>
      </w:r>
    </w:p>
    <w:p w14:paraId="5B8D5A41" w14:textId="77777777" w:rsidR="002A5FDB" w:rsidRDefault="00000000">
      <w:pPr>
        <w:pStyle w:val="Heading1"/>
        <w:spacing w:after="160"/>
      </w:pPr>
      <w:r>
        <w:rPr>
          <w:b/>
          <w:bCs/>
          <w:color w:val="886912"/>
          <w:sz w:val="26"/>
          <w:szCs w:val="26"/>
        </w:rPr>
        <w:t>X. Close</w:t>
      </w:r>
    </w:p>
    <w:p w14:paraId="7C490388" w14:textId="77777777" w:rsidR="002A5FDB" w:rsidRDefault="00000000">
      <w:pPr>
        <w:spacing w:before="220" w:after="220"/>
        <w:ind w:left="720" w:right="720"/>
        <w:jc w:val="center"/>
      </w:pPr>
      <w:r>
        <w:rPr>
          <w:b/>
          <w:bCs/>
          <w:i/>
          <w:iCs/>
          <w:color w:val="1A1A1A"/>
          <w:sz w:val="24"/>
          <w:szCs w:val="24"/>
        </w:rPr>
        <w:t>No people should need the permission of the one who took its records to prove what was taken.</w:t>
      </w:r>
    </w:p>
    <w:p w14:paraId="6C5A3742" w14:textId="77777777" w:rsidR="002A5FDB" w:rsidRDefault="00000000">
      <w:pPr>
        <w:spacing w:after="40"/>
        <w:jc w:val="center"/>
      </w:pPr>
      <w:r>
        <w:rPr>
          <w:b/>
          <w:bCs/>
          <w:color w:val="DA121A"/>
          <w:sz w:val="26"/>
          <w:szCs w:val="26"/>
        </w:rPr>
        <w:t>REFORM WAS THE TRAP.</w:t>
      </w:r>
    </w:p>
    <w:p w14:paraId="6C5A3742" w14:textId="77777777" w:rsidR="002A5FDB" w:rsidRDefault="00000000">
      <w:pPr>
        <w:spacing w:after="40"/>
        <w:jc w:val="center"/>
      </w:pPr>
      <w:r>
        <w:rPr>
          <w:b/>
          <w:bCs/>
          <w:color w:val="DA121A"/>
          <w:sz w:val="26"/>
          <w:szCs w:val="26"/>
        </w:rPr>
        <w:t>BUILDING IS THE ANSWER.</w:t>
      </w:r>
    </w:p>
    <w:p w14:paraId="5B8D5A41" w14:textId="77777777" w:rsidR="002A5FDB" w:rsidRDefault="00000000">
      <w:pPr>
        <w:pStyle w:val="Heading1"/>
        <w:spacing w:after="160"/>
      </w:pPr>
      <w:r>
        <w:rPr>
          <w:b/>
          <w:bCs/>
          <w:color w:val="886912"/>
          <w:sz w:val="26"/>
          <w:szCs w:val="26"/>
        </w:rPr>
        <w:t>Sources</w:t>
      </w:r>
    </w:p>
    <w:p w14:paraId="58CC5CBF" w14:textId="77777777" w:rsidR="002A5FDB" w:rsidRDefault="00000000">
      <w:pPr>
        <w:spacing w:after="80" w:line="300" w:lineRule="auto"/>
        <w:jc w:val="left"/>
      </w:pPr>
      <w:r>
        <w:rPr>
          <w:color w:val="2C2C2A"/>
          <w:sz w:val="17"/>
          <w:szCs w:val="22"/>
        </w:rPr>
        <w:t>A1. Cherokee removal: National Park Service, "The Trail of Tears, 1838-1839," https://www.nps.gov/liri/learn/historyculture/the-trail-of-tears.htm ; Smithsonian National Museum of the American Indian, "Forced Cherokee Removal," https://americanindian.si.edu/nk360/removal-cherokee/forced-removal.html</w:t>
      </w:r>
    </w:p>
    <w:p w14:paraId="58CC5CBF" w14:textId="77777777" w:rsidR="002A5FDB" w:rsidRDefault="00000000">
      <w:pPr>
        <w:spacing w:after="80" w:line="300" w:lineRule="auto"/>
        <w:jc w:val="left"/>
      </w:pPr>
      <w:r>
        <w:rPr>
          <w:color w:val="2C2C2A"/>
          <w:sz w:val="17"/>
          <w:szCs w:val="22"/>
        </w:rPr>
        <w:t>A2. California: History.com, "California's Little-Known Genocide," https://www.history.com/articles/californias-little-known-genocide ; Smithsonian NMAI, "Source E," https://americanindian.si.edu/nk360/gold-rush/source-e/ ; USC Center for Advanced Genocide Research, Benjamin Madley lecture summary (2016), https://dornsife.usc.edu/cagr/2016/10/31/benjamin-madley-lecture-summary/</w:t>
      </w:r>
    </w:p>
    <w:p w14:paraId="58CC5CBF" w14:textId="77777777" w:rsidR="002A5FDB" w:rsidRDefault="00000000">
      <w:pPr>
        <w:spacing w:after="80" w:line="300" w:lineRule="auto"/>
        <w:jc w:val="left"/>
      </w:pPr>
      <w:r>
        <w:rPr>
          <w:color w:val="2C2C2A"/>
          <w:sz w:val="17"/>
          <w:szCs w:val="22"/>
        </w:rPr>
        <w:t>A3. Mankato, 1862: Minnesota Historical Society, "Hanging of the 38," https://www.mnhs.org/usdakotawar/glossary/hanging-of-the-38 ; Death Penalty Information Center, "The Largest Mass Execution in US History," https://deathpenaltyinfo.org/stories/the-largest-mass-execution-in-us-history</w:t>
      </w:r>
    </w:p>
    <w:p w14:paraId="58CC5CBF" w14:textId="77777777" w:rsidR="002A5FDB" w:rsidRDefault="00000000">
      <w:pPr>
        <w:spacing w:after="80" w:line="300" w:lineRule="auto"/>
        <w:jc w:val="left"/>
      </w:pPr>
      <w:r>
        <w:rPr>
          <w:color w:val="2C2C2A"/>
          <w:sz w:val="17"/>
          <w:szCs w:val="22"/>
        </w:rPr>
        <w:t>A4. The Long Walk: Smithsonian NMAI, "The Long Walk," https://americanindian.si.edu/nk360/navajo/long-walk/long-walk.cshtml ; National Library of Medicine, Native Voices timeline, https://www.nlm.nih.gov/nativevoices/timeline/332.html</w:t>
      </w:r>
    </w:p>
    <w:p w14:paraId="58CC5CBF" w14:textId="77777777" w:rsidR="002A5FDB" w:rsidRDefault="00000000">
      <w:pPr>
        <w:spacing w:after="80" w:line="300" w:lineRule="auto"/>
        <w:jc w:val="left"/>
      </w:pPr>
      <w:r>
        <w:rPr>
          <w:color w:val="2C2C2A"/>
          <w:sz w:val="17"/>
          <w:szCs w:val="22"/>
        </w:rPr>
        <w:t>A5. Sand Creek: National Park Service, Sand Creek Massacre National Historic Site, https://www.nps.gov/sand/learn/historyculture/index.htm ; Native News Online, https://nativenewsonline.net/currents/november-29-1864-230-cheyenne-arapaho-massacred-at-sand-creek</w:t>
      </w:r>
    </w:p>
    <w:p w14:paraId="58CC5CBF" w14:textId="77777777" w:rsidR="002A5FDB" w:rsidRDefault="00000000">
      <w:pPr>
        <w:spacing w:after="80" w:line="300" w:lineRule="auto"/>
        <w:jc w:val="left"/>
      </w:pPr>
      <w:r>
        <w:rPr>
          <w:color w:val="2C2C2A"/>
          <w:sz w:val="17"/>
          <w:szCs w:val="22"/>
        </w:rPr>
        <w:t>A6. Wounded Knee: Britannica, "Wounded Knee," https://www.britannica.com/place/Wounded-Knee ; History.com, "What Happened at the Wounded Knee Massacre?," https://www.history.com/articles/wounded-knee-massacre-facts ; CNN (June 26, 2019), https://www.cnn.com/2019/06/26/politics/medal-of-honor-wounded-knee-trnd ; HistoryNet, https://www.historynet.com/twenty-soldiers-could-have-their-medals-of-honor-rescinded-for-their-roles-at-wounded-knee/</w:t>
      </w:r>
    </w:p>
    <w:p w14:paraId="58CC5CBF" w14:textId="77777777" w:rsidR="002A5FDB" w:rsidRDefault="00000000">
      <w:pPr>
        <w:spacing w:after="80" w:line="300" w:lineRule="auto"/>
        <w:jc w:val="left"/>
      </w:pPr>
      <w:r>
        <w:rPr>
          <w:color w:val="2C2C2A"/>
          <w:sz w:val="17"/>
          <w:szCs w:val="22"/>
        </w:rPr>
        <w:t>1. Federal Indian Boarding School Initiative Investigative Report, Vol. 1 (May 2022), as reported by CBS News, https://www.cbsnews.com/news/indian-boarding-indigenous-school-children-treatment/ ; U.S. Department of the Interior, press release on the Federal Indian Boarding School Initiative Investigative Report, Vol. 1 (May 2022), https://www.doi.gov/pressreleases/department-interior-releases-investigative-report-outlines-next-steps-federal-indian ; Friends Committee on National Legislation, "A First Look at the Federal Indian Boarding School Initiative Report" (May 2022), https://www.fcnl.org/updates/2022-05/first-look-federal-indian-boarding-school-initiative-report</w:t>
      </w:r>
    </w:p>
    <w:p w14:paraId="58CC5CBF" w14:textId="77777777" w:rsidR="002A5FDB" w:rsidRDefault="00000000">
      <w:pPr>
        <w:spacing w:after="80" w:line="300" w:lineRule="auto"/>
        <w:jc w:val="left"/>
      </w:pPr>
      <w:r>
        <w:rPr>
          <w:color w:val="2C2C2A"/>
          <w:sz w:val="17"/>
          <w:szCs w:val="22"/>
        </w:rPr>
        <w:t>2. Teaching American History, "Courts of Indian Offenses" (1883 report of the Secretary of the Interior), https://teachingamericanhistory.org/document/courts-of-indian-offenses/ ; EBSCO Research Starters, "Indian offenses," https://www.ebsco.com/research-starters/law/indian-offenses</w:t>
      </w:r>
    </w:p>
    <w:p w14:paraId="58CC5CBF" w14:textId="77777777" w:rsidR="002A5FDB" w:rsidRDefault="00000000">
      <w:pPr>
        <w:spacing w:after="80" w:line="300" w:lineRule="auto"/>
        <w:jc w:val="left"/>
      </w:pPr>
      <w:r>
        <w:rPr>
          <w:color w:val="2C2C2A"/>
          <w:sz w:val="17"/>
          <w:szCs w:val="22"/>
        </w:rPr>
        <w:t>3. National Park Service, "Racial Integrity Act," https://www.nps.gov/articles/000/racial-integrity-act.htm ; Library of Virginia, "Records of a Paper Genocide" (Nov. 13, 2024), https://uncommonwealth.lva.virginia.gov/blog/2024/11/13/records-of-a-paper-genocide/</w:t>
      </w:r>
    </w:p>
    <w:p w14:paraId="58CC5CBF" w14:textId="77777777" w:rsidR="002A5FDB" w:rsidRDefault="00000000">
      <w:pPr>
        <w:spacing w:after="80" w:line="300" w:lineRule="auto"/>
        <w:jc w:val="left"/>
      </w:pPr>
      <w:r>
        <w:rPr>
          <w:color w:val="2C2C2A"/>
          <w:sz w:val="17"/>
          <w:szCs w:val="22"/>
        </w:rPr>
        <w:t>4. 25 C.F.R. § 83.11. eCFR, https://www.ecfr.gov/current/title-25/chapter-I/subchapter-F/part-83/subpart-B/section-83.11 ; Cornell Legal Information Institute, https://www.law.cornell.edu/cfr/text/25/83.11</w:t>
      </w:r>
    </w:p>
    <w:p w14:paraId="58CC5CBF" w14:textId="77777777" w:rsidR="002A5FDB" w:rsidRDefault="00000000">
      <w:pPr>
        <w:spacing w:after="80" w:line="300" w:lineRule="auto"/>
        <w:jc w:val="left"/>
      </w:pPr>
      <w:r>
        <w:rPr>
          <w:color w:val="2C2C2A"/>
          <w:sz w:val="17"/>
          <w:szCs w:val="22"/>
        </w:rPr>
        <w:t>5. Department of the Interior, Federal Acknowledgment of American Indian Tribes, final rule (July 1, 2015), https://www.federalregister.gov/documents/2015/07/01/2015-16193/federal-acknowledgment-of-american-indian-tribes</w:t>
      </w:r>
    </w:p>
    <w:p w14:paraId="58CC5CBF" w14:textId="77777777" w:rsidR="002A5FDB" w:rsidRDefault="00000000">
      <w:pPr>
        <w:spacing w:after="80" w:line="300" w:lineRule="auto"/>
        <w:jc w:val="left"/>
      </w:pPr>
      <w:r>
        <w:rPr>
          <w:color w:val="2C2C2A"/>
          <w:sz w:val="17"/>
          <w:szCs w:val="22"/>
        </w:rPr>
        <w:t>6. Testimony of George T. Skibine, Department of the Interior (Nov. 4, 2009), https://www.bia.gov/sites/default/files/dup/assets/as-ia/ocla/Skibine%20Federal%20Acknowledgement%20FINAL%2011.4.09.pdf</w:t>
      </w:r>
    </w:p>
    <w:p w14:paraId="58CC5CBF" w14:textId="77777777" w:rsidR="002A5FDB" w:rsidRDefault="00000000">
      <w:pPr>
        <w:spacing w:after="80" w:line="300" w:lineRule="auto"/>
        <w:jc w:val="left"/>
      </w:pPr>
      <w:r>
        <w:rPr>
          <w:color w:val="2C2C2A"/>
          <w:sz w:val="17"/>
          <w:szCs w:val="22"/>
        </w:rPr>
        <w:t>7. Testimony of R. Lee Fleming, Director, Office of Federal Acknowledgment, https://www.bia.gov/sites/default/files/dup/assets/as-ia/pdf/idc008178.pdf ; The Regulatory Review, "Rules for Acknowledging a Broken Trust" (April 6, 2021), https://www.theregreview.org/2021/04/06/shapiro-rules-acknowledging-broken-trust/</w:t>
      </w:r>
    </w:p>
    <w:p w14:paraId="58CC5CBF" w14:textId="77777777" w:rsidR="002A5FDB" w:rsidRDefault="00000000">
      <w:pPr>
        <w:spacing w:after="80" w:line="300" w:lineRule="auto"/>
        <w:jc w:val="left"/>
      </w:pPr>
      <w:r>
        <w:rPr>
          <w:color w:val="2C2C2A"/>
          <w:sz w:val="17"/>
          <w:szCs w:val="22"/>
        </w:rPr>
        <w:t>8. Federally Recognized Indian Tribe List Act of 1994, Pub. L. 103-454, Title I, findings, https://govinfo.gov/content/pkg/BILLS-103hr4180eh/html/BILLS-103hr4180eh.htm</w:t>
      </w:r>
    </w:p>
    <w:p w14:paraId="58CC5CBF" w14:textId="77777777" w:rsidR="002A5FDB" w:rsidRDefault="00000000">
      <w:pPr>
        <w:spacing w:after="80" w:line="300" w:lineRule="auto"/>
        <w:jc w:val="left"/>
      </w:pPr>
      <w:r>
        <w:rPr>
          <w:color w:val="2C2C2A"/>
          <w:sz w:val="17"/>
          <w:szCs w:val="22"/>
        </w:rPr>
        <w:t>9. Bureau of Indian Affairs, Proposed Finding, United Houma Nation (1994), https://www.bia.gov/sites/default/files/dup/assets/as-ia/ofa/petition/056_uhouma_LA/056_pf.pdf ; 64 Parishes, "Arbitrary Process," https://64parishes.org/arbitrary-process ; PBS NewsHour (Oct. 20, 2021), https://www.pbs.org/newshour/nation/why-some-indigenous-tribes-are-being-left-behind-in-louisianas-ida-recovery</w:t>
      </w:r>
    </w:p>
    <w:p w14:paraId="58CC5CBF" w14:textId="77777777" w:rsidR="002A5FDB" w:rsidRDefault="00000000">
      <w:pPr>
        <w:spacing w:after="80" w:line="300" w:lineRule="auto"/>
        <w:jc w:val="left"/>
      </w:pPr>
      <w:r>
        <w:rPr>
          <w:color w:val="2C2C2A"/>
          <w:sz w:val="17"/>
          <w:szCs w:val="22"/>
        </w:rPr>
        <w:t>10. House Concurrent Resolution 108 (1953), 67 Stat. B132, https://www.govinfo.gov/content/pkg/STATUTE-67/pdf/STATUTE-67-PgB132-2.pdf ; Teaching American History, "House Concurrent Resolution 108," https://teachingamericanhistory.org/document/house-concurrent-resolution-108/ ; University of Alaska Fairbanks, "Termination Era, the 1950s, Public Law 280," https://www.uaf.edu/tribal/academics/112/unit-2/terminationerathe1950spubliclaw280.php ; White House Historical Association, "Self-Determination Without Termination," https://www.whitehousehistory.org/self-determination-without-termination ; American Archive of Public Broadcasting, "Termination, Relocation, and Restoration," https://americanarchive.org/exhibits/native-narratives/termination-relocation-restoration</w:t>
      </w:r>
    </w:p>
    <w:p w14:paraId="58CC5CBF" w14:textId="77777777" w:rsidR="002A5FDB" w:rsidRDefault="00000000">
      <w:pPr>
        <w:spacing w:after="80" w:line="300" w:lineRule="auto"/>
        <w:jc w:val="left"/>
      </w:pPr>
      <w:r>
        <w:rPr>
          <w:color w:val="2C2C2A"/>
          <w:sz w:val="17"/>
          <w:szCs w:val="22"/>
        </w:rPr>
        <w:t>11. Allotment: Indian Country Today, "The 1887 Dawes Act: The U.S. Theft of 90 Million Acres of Indian Land," https://ictnews.org/archive/the-1887-dawes-act-the-us-theft-of-90-million-acres-of-indian-land/ ; Native Governance Center, "Legacies of Allotment and Indigenous Resistance," https://nativegov.org/resources/allotment-legacies-guide/</w:t>
      </w:r>
    </w:p>
    <w:p w14:paraId="58CC5CBF" w14:textId="77777777" w:rsidR="002A5FDB" w:rsidRDefault="00000000">
      <w:pPr>
        <w:spacing w:after="80" w:line="300" w:lineRule="auto"/>
        <w:jc w:val="left"/>
      </w:pPr>
      <w:r>
        <w:rPr>
          <w:color w:val="2C2C2A"/>
          <w:sz w:val="17"/>
          <w:szCs w:val="22"/>
        </w:rPr>
        <w:t>12. Chitimacha: Chitimacha Tribe of Louisiana, "Tribal History," https://www.chitimacha.gov/history-culture/tribal-history and "Language," https://chitimacha.gov/history-culture/language ; EBSCO Research Starters, "Chitimacha," https://www.ebsco.com/research-starters/social-sciences-and-humanities/chitimacha ; University of Louisiana at Lafayette, Center for Louisiana Studies, "Chitimacha," https://cls.louisiana.edu/programming-special-projects/louisiana-101/peoples-places/native-americans/chitimacha ; NCAI, "The Chitimacha Tribe of Louisiana," https://archive.ncai.org/tribal-vawa/sdvcj-today/the-chitimacha-tribe-of-louisiana ; the 1994 Houma proposed finding (source 9)</w:t>
      </w:r>
    </w:p>
    <w:p w14:paraId="58CC5CBF" w14:textId="77777777" w:rsidR="002A5FDB" w:rsidRDefault="00000000">
      <w:pPr>
        <w:spacing w:after="80" w:line="300" w:lineRule="auto"/>
        <w:jc w:val="left"/>
      </w:pPr>
      <w:r>
        <w:rPr>
          <w:color w:val="2C2C2A"/>
          <w:sz w:val="17"/>
          <w:szCs w:val="22"/>
        </w:rPr>
        <w:t>13. Colonial drum ban: South Carolina, Negro Act of 1740, Sec. XXXVI, excerpts via US History Scene, https://ushistoryscene.com/article/excerpts-south-carolina-slave-code-1740-no-670-1740/</w:t>
      </w:r>
    </w:p>
    <w:p w14:paraId="58CC5CBF" w14:textId="77777777" w:rsidR="002A5FDB" w:rsidRDefault="00000000">
      <w:pPr>
        <w:spacing w:after="80" w:line="300" w:lineRule="auto"/>
        <w:jc w:val="left"/>
      </w:pPr>
      <w:r>
        <w:rPr>
          <w:color w:val="2C2C2A"/>
          <w:sz w:val="17"/>
          <w:szCs w:val="22"/>
        </w:rPr>
        <w:t>14. Mississippi, 1865: "An Act to Confer Civil Rights on Freedmen," Sec. 5, and Penal Laws of Mississippi, Sec. 4, via Encyclopedia.com, https://www.encyclopedia.com/history/dictionaries-thesauruses-pictures-and-press-releases/black-code-mississippi-25-november-1865 ; MIT primary source collection, https://www.mit.edu/course/21/21h.102/OldFiles/www/Primary%20source%20collections/Reconstruction/Black%20codes.htm</w:t>
      </w:r>
    </w:p>
    <w:p w14:paraId="58CC5CBF" w14:textId="77777777" w:rsidR="002A5FDB" w:rsidRDefault="00000000">
      <w:pPr>
        <w:spacing w:after="80" w:line="300" w:lineRule="auto"/>
        <w:jc w:val="left"/>
      </w:pPr>
      <w:r>
        <w:rPr>
          <w:color w:val="2C2C2A"/>
          <w:sz w:val="17"/>
          <w:szCs w:val="22"/>
        </w:rPr>
        <w:t>15. Village of Arlington Heights v. Metropolitan Housing Development Corp., 429 U.S. 252 (1977), https://www.law.cornell.edu/supremecourt/text/429/252</w:t>
      </w:r>
    </w:p>
    <w:p w14:paraId="58CC5CBF" w14:textId="77777777" w:rsidR="002A5FDB" w:rsidRDefault="00000000">
      <w:pPr>
        <w:spacing w:after="80" w:line="300" w:lineRule="auto"/>
        <w:jc w:val="left"/>
      </w:pPr>
      <w:r>
        <w:rPr>
          <w:color w:val="2C2C2A"/>
          <w:sz w:val="17"/>
          <w:szCs w:val="22"/>
        </w:rPr>
        <w:t>16. Gretna bridge: U.S. Attorney's Office, Eastern District of Louisiana, press release (Sept. 30, 2011), https://www.justice.gov/archive/usao/lae/news/2011/2011_09_30_crescent_city_connection.html</w:t>
      </w:r>
    </w:p>
    <w:p w14:paraId="0A0F63C2" w14:textId="77777777" w:rsidR="002A5FDB" w:rsidRDefault="00000000">
      <w:pPr>
        <w:spacing w:after="10"/>
        <w:jc w:val="center"/>
      </w:pPr>
      <w:r>
        <w:rPr>
          <w:color w:val="2C2C2A"/>
        </w:rPr>
        <w:t>Léandre Poplus</w:t>
      </w:r>
    </w:p>
    <w:p w14:paraId="0B72D289" w14:textId="77777777" w:rsidR="002A5FDB" w:rsidRDefault="00000000" w:rsidP="00773544">
      <w:pPr>
        <w:spacing w:before="60" w:after="10"/>
        <w:jc w:val="center"/>
      </w:pPr>
      <w:r>
        <w:rPr>
          <w:color w:val="6B6B6B"/>
          <w:sz w:val="17"/>
          <w:szCs w:val="17"/>
        </w:rPr>
        <w:t>Founder, Alliance for Collective Empowerment and Development</w:t>
      </w:r>
    </w:p>
    <w:p w14:paraId="0B72D289" w14:textId="77777777" w:rsidR="002A5FDB" w:rsidRDefault="00000000" w:rsidP="00773544">
      <w:pPr>
        <w:spacing w:before="60" w:after="10"/>
        <w:jc w:val="center"/>
      </w:pPr>
      <w:r>
        <w:rPr>
          <w:color w:val="6B6B6B"/>
          <w:sz w:val="17"/>
          <w:szCs w:val="17"/>
        </w:rPr>
        <w:t>October 2026</w:t>
      </w:r>
    </w:p>
    <w:p w14:paraId="0B72D289" w14:textId="77777777" w:rsidR="002A5FDB" w:rsidRDefault="00000000" w:rsidP="00773544">
      <w:pPr>
        <w:spacing w:before="60" w:after="10"/>
        <w:jc w:val="center"/>
      </w:pPr>
      <w:r>
        <w:rPr>
          <w:color w:val="6B6B6B"/>
          <w:sz w:val="17"/>
          <w:szCs w:val="17"/>
        </w:rPr>
        <w:t>founders@acecommunities.org • acecommunities.org</w:t>
      </w:r>
    </w:p>
    <w:sectPr w:rsidR="002A5FDB">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2889"/>
    <w:multiLevelType w:val="hybridMultilevel"/>
    <w:tmpl w:val="DF06A75A"/>
    <w:lvl w:ilvl="0" w:tplc="A894CD52">
      <w:start w:val="1"/>
      <w:numFmt w:val="bullet"/>
      <w:lvlText w:val="●"/>
      <w:lvlJc w:val="left"/>
      <w:pPr>
        <w:ind w:left="720" w:hanging="360"/>
      </w:pPr>
    </w:lvl>
    <w:lvl w:ilvl="1" w:tplc="7ACC53BE">
      <w:start w:val="1"/>
      <w:numFmt w:val="bullet"/>
      <w:lvlText w:val="○"/>
      <w:lvlJc w:val="left"/>
      <w:pPr>
        <w:ind w:left="1440" w:hanging="360"/>
      </w:pPr>
    </w:lvl>
    <w:lvl w:ilvl="2" w:tplc="0D3E87C0">
      <w:start w:val="1"/>
      <w:numFmt w:val="bullet"/>
      <w:lvlText w:val="■"/>
      <w:lvlJc w:val="left"/>
      <w:pPr>
        <w:ind w:left="2160" w:hanging="360"/>
      </w:pPr>
    </w:lvl>
    <w:lvl w:ilvl="3" w:tplc="5060D95C">
      <w:start w:val="1"/>
      <w:numFmt w:val="bullet"/>
      <w:lvlText w:val="●"/>
      <w:lvlJc w:val="left"/>
      <w:pPr>
        <w:ind w:left="2880" w:hanging="360"/>
      </w:pPr>
    </w:lvl>
    <w:lvl w:ilvl="4" w:tplc="1C10DE1E">
      <w:start w:val="1"/>
      <w:numFmt w:val="bullet"/>
      <w:lvlText w:val="○"/>
      <w:lvlJc w:val="left"/>
      <w:pPr>
        <w:ind w:left="3600" w:hanging="360"/>
      </w:pPr>
    </w:lvl>
    <w:lvl w:ilvl="5" w:tplc="DB74960E">
      <w:start w:val="1"/>
      <w:numFmt w:val="bullet"/>
      <w:lvlText w:val="■"/>
      <w:lvlJc w:val="left"/>
      <w:pPr>
        <w:ind w:left="4320" w:hanging="360"/>
      </w:pPr>
    </w:lvl>
    <w:lvl w:ilvl="6" w:tplc="1494F3C6">
      <w:start w:val="1"/>
      <w:numFmt w:val="bullet"/>
      <w:lvlText w:val="●"/>
      <w:lvlJc w:val="left"/>
      <w:pPr>
        <w:ind w:left="5040" w:hanging="360"/>
      </w:pPr>
    </w:lvl>
    <w:lvl w:ilvl="7" w:tplc="B00C602A">
      <w:start w:val="1"/>
      <w:numFmt w:val="bullet"/>
      <w:lvlText w:val="●"/>
      <w:lvlJc w:val="left"/>
      <w:pPr>
        <w:ind w:left="5760" w:hanging="360"/>
      </w:pPr>
    </w:lvl>
    <w:lvl w:ilvl="8" w:tplc="C0CE37DC">
      <w:start w:val="1"/>
      <w:numFmt w:val="bullet"/>
      <w:lvlText w:val="●"/>
      <w:lvlJc w:val="left"/>
      <w:pPr>
        <w:ind w:left="6480" w:hanging="360"/>
      </w:pPr>
    </w:lvl>
  </w:abstractNum>
  <w:num w:numId="1" w16cid:durableId="1861621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DB"/>
    <w:rsid w:val="002A5FDB"/>
    <w:rsid w:val="003B4577"/>
    <w:rsid w:val="00757A09"/>
    <w:rsid w:val="00773544"/>
    <w:rsid w:val="00A203C4"/>
    <w:rsid w:val="00C20A79"/>
    <w:rsid w:val="00DE0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88AF"/>
  <w15:docId w15:val="{390779F9-2326-41FE-9D6E-8BC1F9CF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03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2010</Words>
  <Characters>9910</Characters>
  <Application>Microsoft Office Word</Application>
  <DocSecurity>0</DocSecurity>
  <Lines>162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2026-08-28T03:11:00Z</dcterms:created>
  <dcterms:modified xsi:type="dcterms:W3CDTF">2026-08-30T17:13:00Z</dcterms:modified>
</cp:coreProperties>
</file>