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.include&lt;m328pdef.inc&gt;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.ORG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LDI R25, 0x10; //load register with value 00010000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LDI R24, 0x10; //load register with value 00010000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LDI R23, 0x01; //load register with value 00000001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LDI R22, 0x01; //load register with value 00000001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LDI R16,0; //load register with value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LDI R17,0; //load register with value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LDI R18,0; //load register with value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LDI R19,0; //load register with value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LDI R20,0; //load register with value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LDI R21,0; //load register with value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 R22; //load register with value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TARGET1: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R17,R24; //add value 00010000 to R17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R18,R25; //add value 00010000 to R18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R19,R16;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R20,R22;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DEC R22; //Decrement R22 by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BRNE TARGET1; //goes to TARGET1 if branch not equal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 R23;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INC R23; //increment R23 by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TARGET2: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R17,R24;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R18,R25;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R19,R16;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R20,R21;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DEC R23; //Decrement R23 by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BRNE TARGET2 //goes to TARGET2 if branch not equal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