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amm-v1.7-global-practice-library-schema"/>
    <w:p>
      <w:pPr>
        <w:pStyle w:val="Heading1"/>
      </w:pPr>
      <w:r>
        <w:t xml:space="preserve">DAMM v1.7 — Global Practice Library (schema)</w:t>
      </w:r>
    </w:p>
    <w:p>
      <w:pPr>
        <w:pStyle w:val="FirstParagraph"/>
      </w:pPr>
      <w:r>
        <w:t xml:space="preserve">One page · 22 August 2026 · Companion to</w:t>
      </w:r>
      <w:r>
        <w:t xml:space="preserve"> </w:t>
      </w:r>
      <w:r>
        <w:rPr>
          <w:rStyle w:val="VerbatimChar"/>
        </w:rPr>
        <w:t xml:space="preserve">DAMM-v1.7-Specification.md</w:t>
      </w:r>
      <w:r>
        <w:t xml:space="preserve"> </w:t>
      </w:r>
      <w:r>
        <w:t xml:space="preserve">§9 context rules · Review items in spec §13.7</w:t>
      </w:r>
    </w:p>
    <w:p>
      <w:pPr>
        <w:pStyle w:val="BodyText"/>
      </w:pPr>
      <w:r>
        <w:rPr>
          <w:b/>
          <w:bCs/>
        </w:rPr>
        <w:t xml:space="preserve">What it is.</w:t>
      </w:r>
      <w:r>
        <w:t xml:space="preserve"> </w:t>
      </w:r>
      <w:r>
        <w:t xml:space="preserve">A standing, country-agnostic register of digital-agriculture practices with evidence — the reusable asset behind (i) the one-line</w:t>
      </w:r>
      <w:r>
        <w:t xml:space="preserve"> </w:t>
      </w:r>
      <w:r>
        <w:rPr>
          <w:b/>
          <w:bCs/>
        </w:rPr>
        <w:t xml:space="preserve">precedent pointers</w:t>
      </w:r>
      <w:r>
        <w:t xml:space="preserve"> </w:t>
      </w:r>
      <w:r>
        <w:t xml:space="preserve">on a diagnostic’s strategic questions and (ii) the</w:t>
      </w:r>
      <w:r>
        <w:t xml:space="preserve"> </w:t>
      </w:r>
      <w:r>
        <w:rPr>
          <w:b/>
          <w:bCs/>
        </w:rPr>
        <w:t xml:space="preserve">Precedents note</w:t>
      </w:r>
      <w:r>
        <w:t xml:space="preserve"> </w:t>
      </w:r>
      <w:r>
        <w:t xml:space="preserve">produced at Playbook Step 2 (≤10 entries, 3–5 pages, in the Step 2 pack — never a chapter of the diagnostic). Roughly 80% of practice evidence is country-invariant; writing it once and joining it per country beats rewriting it per DAR and drifting.</w:t>
      </w:r>
    </w:p>
    <w:p>
      <w:pPr>
        <w:pStyle w:val="BodyText"/>
      </w:pPr>
      <w:r>
        <w:rPr>
          <w:b/>
          <w:bCs/>
        </w:rPr>
        <w:t xml:space="preserve">What it is not.</w:t>
      </w:r>
      <w:r>
        <w:t xml:space="preserve"> </w:t>
      </w:r>
      <w:r>
        <w:t xml:space="preserve">Not benchmarking. Entries describe what happened somewhere, with tiered evidence; the library never scores, ranks, or compares countries (prohibition 1 applies to it in full).</w:t>
      </w:r>
    </w:p>
    <w:bookmarkStart w:id="9" w:name="entry-schema-one-row-per-practiceprogram"/>
    <w:p>
      <w:pPr>
        <w:pStyle w:val="Heading2"/>
      </w:pPr>
      <w:r>
        <w:t xml:space="preserve">Entry schema (one row per practice/program)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id, name, geography</w:t>
            </w:r>
          </w:p>
        </w:tc>
        <w:tc>
          <w:tcPr/>
          <w:p>
            <w:pPr>
              <w:pStyle w:val="Compact"/>
            </w:pPr>
            <w:r>
              <w:t xml:space="preserve">Stable id · program name · country/region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Use-case areas</w:t>
            </w:r>
          </w:p>
        </w:tc>
        <w:tc>
          <w:tcPr/>
          <w:p>
            <w:pPr>
              <w:pStyle w:val="Compact"/>
            </w:pPr>
            <w:r>
              <w:t xml:space="preserve">ADV / SMF / MKT / SCM / FIN / AGI (≥1)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 tags</w:t>
            </w:r>
          </w:p>
        </w:tc>
        <w:tc>
          <w:tcPr/>
          <w:p>
            <w:pPr>
              <w:pStyle w:val="Compact"/>
            </w:pPr>
            <w:r>
              <w:t xml:space="preserve">The A1-type problems it addresses: yield · post-harvest loss · market access · credit · climate · inclusion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 type</w:t>
            </w:r>
          </w:p>
        </w:tc>
        <w:tc>
          <w:tcPr/>
          <w:p>
            <w:pPr>
              <w:pStyle w:val="Compact"/>
            </w:pPr>
            <w:r>
              <w:t xml:space="preserve">registry · advisory · index insurance · e-subsidy · mechanization marketplace · traceability · market platform · data governance ·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 pattern</w:t>
            </w:r>
          </w:p>
        </w:tc>
        <w:tc>
          <w:tcPr/>
          <w:p>
            <w:pPr>
              <w:pStyle w:val="Compact"/>
            </w:pPr>
            <w:r>
              <w:t xml:space="preserve">Which of the 12 DAMM prerequisites it needed to work (e.g. e-subsidy → 3.3 + 4.7; USSD advisory → 2.1 only).</w:t>
            </w:r>
            <w:r>
              <w:t xml:space="preserve"> </w:t>
            </w:r>
            <w:r>
              <w:rPr>
                <w:b/>
                <w:bCs/>
              </w:rPr>
              <w:t xml:space="preserve">This is the join key.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achieved</w:t>
            </w:r>
          </w:p>
        </w:tc>
        <w:tc>
          <w:tcPr/>
          <w:p>
            <w:pPr>
              <w:pStyle w:val="Compact"/>
            </w:pPr>
            <w:r>
              <w:t xml:space="preserve">Number + unit, source-tiered; vendor-reported figures marked as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evidence</w:t>
            </w:r>
          </w:p>
        </w:tc>
        <w:tc>
          <w:tcPr/>
          <w:p>
            <w:pPr>
              <w:pStyle w:val="Compact"/>
            </w:pPr>
            <w:r>
              <w:t xml:space="preserve">Effect sizes with citation,</w:t>
            </w:r>
            <w:r>
              <w:t xml:space="preserve"> </w:t>
            </w:r>
            <w:r>
              <w:rPr>
                <w:b/>
                <w:bCs/>
              </w:rPr>
              <w:t xml:space="preserve">T1–T2 only</w:t>
            </w:r>
            <w:r>
              <w:t xml:space="preserve">;</w:t>
            </w:r>
            <w:r>
              <w:t xml:space="preserve"> </w:t>
            </w:r>
            <w:r>
              <w:t xml:space="preserve">“no independent evaluation located”</w:t>
            </w:r>
            <w:r>
              <w:t xml:space="preserve"> </w:t>
            </w:r>
            <w:r>
              <w:t xml:space="preserve">is a recordable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modes</w:t>
            </w:r>
          </w:p>
        </w:tc>
        <w:tc>
          <w:tcPr/>
          <w:p>
            <w:pPr>
              <w:pStyle w:val="Compact"/>
            </w:pPr>
            <w:r>
              <w:t xml:space="preserve">Documented problems (elite capture, payout delays, network failure) — closures and failures are entries, not exclusions; GES belongs here as much as AgriStack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data</w:t>
            </w:r>
          </w:p>
        </w:tc>
        <w:tc>
          <w:tcPr/>
          <w:p>
            <w:pPr>
              <w:pStyle w:val="Compact"/>
            </w:pPr>
            <w:r>
              <w:t xml:space="preserve">Where public, with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Operating / Closed (+ year)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tags</w:t>
            </w:r>
          </w:p>
        </w:tc>
        <w:tc>
          <w:tcPr/>
          <w:p>
            <w:pPr>
              <w:pStyle w:val="Compact"/>
            </w:pPr>
            <w:r>
              <w:t xml:space="preserve">smallholder share band · rainfed vs irrigated · connectivity band · federal/unitary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Deep links + access dates + tiers; T4–T5 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verified</w:t>
            </w:r>
          </w:p>
        </w:tc>
        <w:tc>
          <w:tcPr/>
          <w:p>
            <w:pPr>
              <w:pStyle w:val="Compact"/>
            </w:pPr>
            <w:r>
              <w:t xml:space="preserve">Date; re-verify at 12 months or on use, whichever first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 rules (stricter than the diagnostic’s register, because the library is reused and errors compound):</w:t>
      </w:r>
      <w:r>
        <w:t xml:space="preserve"> </w:t>
      </w:r>
      <w:r>
        <w:t xml:space="preserve">results claims T1–T2 only · existence and scale T3–T4 ·</w:t>
      </w:r>
      <w:r>
        <w:t xml:space="preserve"> </w:t>
      </w:r>
      <w:r>
        <w:rPr>
          <w:b/>
          <w:bCs/>
        </w:rPr>
        <w:t xml:space="preserve">T5 excluded entirely</w:t>
      </w:r>
      <w:r>
        <w:t xml:space="preserve">.</w:t>
      </w:r>
    </w:p>
    <w:bookmarkEnd w:id="9"/>
    <w:bookmarkStart w:id="10" w:name="the-relevance-join-step-2"/>
    <w:p>
      <w:pPr>
        <w:pStyle w:val="Heading2"/>
      </w:pPr>
      <w:r>
        <w:t xml:space="preserve">The relevance join (Step 2)</w:t>
      </w:r>
    </w:p>
    <w:p>
      <w:pPr>
        <w:pStyle w:val="FirstParagraph"/>
      </w:pPr>
      <w:r>
        <w:t xml:space="preserve">Candidates = entries whose use-case areas intersect the country’s</w:t>
      </w:r>
      <w:r>
        <w:t xml:space="preserve"> </w:t>
      </w:r>
      <w:r>
        <w:rPr>
          <w:b/>
          <w:bCs/>
        </w:rPr>
        <w:t xml:space="preserve">Ready/Partial columns</w:t>
      </w:r>
      <w:r>
        <w:t xml:space="preserve">, and whose prerequisite pattern either (a) fits within the country’s Present (+narrow) prerequisites —</w:t>
      </w:r>
      <w:r>
        <w:t xml:space="preserve"> </w:t>
      </w:r>
      <w:r>
        <w:rPr>
          <w:i/>
          <w:iCs/>
        </w:rPr>
        <w:t xml:space="preserve">adoptable now</w:t>
      </w:r>
      <w:r>
        <w:t xml:space="preserve"> </w:t>
      </w:r>
      <w:r>
        <w:t xml:space="preserve">— or (b) contains exactly the country’s</w:t>
      </w:r>
      <w:r>
        <w:t xml:space="preserve"> </w:t>
      </w:r>
      <w:r>
        <w:rPr>
          <w:b/>
          <w:bCs/>
        </w:rPr>
        <w:t xml:space="preserve">named blockers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what-it-took precedents</w:t>
      </w:r>
      <w:r>
        <w:t xml:space="preserve"> </w:t>
      </w:r>
      <w:r>
        <w:t xml:space="preserve">for clearing them. Rank by context-tag overlap; the TTL curates to ≤10 for the Precedents note. The matrix selects; narrative never does.</w:t>
      </w:r>
    </w:p>
    <w:p>
      <w:pPr>
        <w:pStyle w:val="BodyText"/>
      </w:pPr>
      <w:r>
        <w:rPr>
          <w:b/>
          <w:bCs/>
        </w:rPr>
        <w:t xml:space="preserve">Diagnostic hook:</w:t>
      </w:r>
      <w:r>
        <w:t xml:space="preserve"> </w:t>
      </w:r>
      <w:r>
        <w:t xml:space="preserve">a strategic question may carry at most one pointer, drawn only from entries meeting the evidence rules, framed as an existence proof.</w:t>
      </w:r>
    </w:p>
    <w:bookmarkEnd w:id="10"/>
    <w:bookmarkStart w:id="11" w:name="seeding-and-storage"/>
    <w:p>
      <w:pPr>
        <w:pStyle w:val="Heading2"/>
      </w:pPr>
      <w:r>
        <w:t xml:space="preserve">Seeding and storage</w:t>
      </w:r>
    </w:p>
    <w:p>
      <w:pPr>
        <w:pStyle w:val="FirstParagraph"/>
      </w:pPr>
      <w:r>
        <w:t xml:space="preserve">Seed with 25–30 entries from the DARs in hand (Egypt, Nigeria, Bhutan research trails) plus the canonical cases: India AgriStack · Kenya DigiFarm / Kilimo Salama · Rwanda Smart Nkunganire · Ethiopia 8028 hotline · Digital Green (evaluated, T2) · ACRE Africa · Hello Tractor · EMBRAPA digital · and Nigeria’s own GES/ABP as domestic failure-mode evidence. Each subsequent DAR contributes one pass. Storage:</w:t>
      </w:r>
      <w:r>
        <w:t xml:space="preserve"> </w:t>
      </w:r>
      <w:r>
        <w:rPr>
          <w:rStyle w:val="VerbatimChar"/>
        </w:rPr>
        <w:t xml:space="preserve">practice-library.json</w:t>
      </w:r>
      <w:r>
        <w:t xml:space="preserve"> </w:t>
      </w:r>
      <w:r>
        <w:t xml:space="preserve">beside the model (columns = this schema); per-country Precedents notes render from it.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2026-08-22T22:36:31Z</dcterms:created>
  <dcterms:modified xsi:type="dcterms:W3CDTF">2026-08-22T22:36:31Z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