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amm-v1.7-quality-control-protocol"/>
    <w:p>
      <w:pPr>
        <w:pStyle w:val="Heading1"/>
      </w:pPr>
      <w:r>
        <w:t xml:space="preserve">DAMM v1.7 — Quality Control Protocol</w:t>
      </w:r>
    </w:p>
    <w:p>
      <w:pPr>
        <w:pStyle w:val="FirstParagraph"/>
      </w:pPr>
      <w:r>
        <w:t xml:space="preserve">One page · 22 August 2026 · Companion to</w:t>
      </w:r>
      <w:r>
        <w:t xml:space="preserve"> </w:t>
      </w:r>
      <w:r>
        <w:rPr>
          <w:rStyle w:val="VerbatimChar"/>
        </w:rPr>
        <w:t xml:space="preserve">DAMM-v1.7-Specification.md</w:t>
      </w:r>
      <w:r>
        <w:t xml:space="preserve"> </w:t>
      </w:r>
      <w:r>
        <w:t xml:space="preserve">§9 · Review items in spec §13.8</w:t>
      </w:r>
    </w:p>
    <w:p>
      <w:pPr>
        <w:pStyle w:val="BodyText"/>
      </w:pPr>
      <w:r>
        <w:rPr>
          <w:b/>
          <w:bCs/>
        </w:rPr>
        <w:t xml:space="preserve">Design stance.</w:t>
      </w:r>
      <w:r>
        <w:t xml:space="preserve"> </w:t>
      </w:r>
      <w:r>
        <w:t xml:space="preserve">Quality control is layered into the instrument, the pipeline, and the sign-off — it is not a stage appended at the end. Machines enforce what can be enforced; humans gate what requires judgment; the report itself states which checks ran.</w:t>
      </w:r>
    </w:p>
    <w:bookmarkStart w:id="9" w:name="X79aaa78ad9bb4da4f8019d04b373866e62ae4e1"/>
    <w:p>
      <w:pPr>
        <w:pStyle w:val="Heading2"/>
      </w:pPr>
      <w:r>
        <w:t xml:space="preserve">Layer 1 — Structural (by construction; runs on every assessment, cannot be skipped)</w:t>
      </w:r>
    </w:p>
    <w:p>
      <w:pPr>
        <w:pStyle w:val="FirstParagraph"/>
      </w:pPr>
      <w:r>
        <w:t xml:space="preserve">The rules of evidence are the first QC layer: a level cannot exist without a recorded value, source, and year; the evidence class is derived from the value and cannot be chosen; a gap must be searched and named to be recorded; staleness derives from the observation year; prerequisites bind on presence only and show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when unevidenced; weak-evidence bands render parenthesized by majority rule; source tiers are reported, never weighted; and no narrative claim can set a level. Each rule removes a class of error rather than detecting it.</w:t>
      </w:r>
    </w:p>
    <w:bookmarkEnd w:id="9"/>
    <w:bookmarkStart w:id="10" w:name="X34b962a3df6dc791836499b0a8b6c10d5638b75"/>
    <w:p>
      <w:pPr>
        <w:pStyle w:val="Heading2"/>
      </w:pPr>
      <w:r>
        <w:t xml:space="preserve">Layer 2 — Automated (every render; emit-blocking)</w:t>
      </w:r>
    </w:p>
    <w:p>
      <w:pPr>
        <w:pStyle w:val="FirstParagraph"/>
      </w:pPr>
      <w:r>
        <w:t xml:space="preserve">The renderer runs these checks and</w:t>
      </w:r>
      <w:r>
        <w:t xml:space="preserve"> </w:t>
      </w:r>
      <w:r>
        <w:rPr>
          <w:b/>
          <w:bCs/>
        </w:rPr>
        <w:t xml:space="preserve">refuses to emit a report on any failure</w:t>
      </w:r>
      <w:r>
        <w:t xml:space="preserve">; the result is stated in the report footer.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Every row with a level carries value + source + year; no level on a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Class↔value consistency: numeric → Measured · citation → Documented · statement → Judged ·</w:t>
            </w:r>
            <w:r>
              <w:t xml:space="preserve"> </w:t>
            </w:r>
            <w:r>
              <w:t xml:space="preserve">“DATA GAP”</w:t>
            </w:r>
            <w:r>
              <w:t xml:space="preserve"> </w:t>
            </w:r>
            <w:r>
              <w:t xml:space="preserve">→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Every Gap row carries its search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Staleness flag matches the 3-year rule for every non-Gap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Reconciliation: class counts, pillar n’s, and layer n’s sum to 57; matrix has exactly the six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Prerequisite and matrix statuses draw only from their defined vocabularies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Tier lookup applied to every machine-fetched row; register rows all carry a tier; T5 rows carry no results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Engine↔workbook parity suite (60 checks) passes at workbook migration and after any formula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Presentation: acronyms and codes explained at point of use (never tooltip-only); both themes render; palette validation on any new chart colors; print CSS present; no horizontal page overflow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Citations: Documented rows carry resolvable deep links with access dates; ≥10 links spot-resolved per assessment; T4–T5 links archived</w:t>
            </w:r>
          </w:p>
        </w:tc>
      </w:tr>
    </w:tbl>
    <w:bookmarkEnd w:id="10"/>
    <w:bookmarkStart w:id="11" w:name="layer-3-human-gates"/>
    <w:p>
      <w:pPr>
        <w:pStyle w:val="Heading2"/>
      </w:pPr>
      <w:r>
        <w:t xml:space="preserve">Layer 3 — Human gates</w:t>
      </w:r>
    </w:p>
    <w:p>
      <w:pPr>
        <w:pStyle w:val="FirstParagraph"/>
      </w:pPr>
      <w:r>
        <w:rPr>
          <w:b/>
          <w:bCs/>
        </w:rPr>
        <w:t xml:space="preserve">G1 — Machine-pass confirmation</w:t>
      </w:r>
      <w:r>
        <w:t xml:space="preserve"> </w:t>
      </w:r>
      <w:r>
        <w:t xml:space="preserve">(assessor, after Step 1’s machine pass): review every machine-filled row; confirm or correct value, source, year, tier; accept each recorded gap or re-search it. Output: an initialed workbook.</w:t>
      </w:r>
    </w:p>
    <w:p>
      <w:pPr>
        <w:pStyle w:val="BodyText"/>
      </w:pPr>
      <w:r>
        <w:rPr>
          <w:b/>
          <w:bCs/>
        </w:rPr>
        <w:t xml:space="preserve">G2 — Peer review</w:t>
      </w:r>
      <w:r>
        <w:t xml:space="preserve"> </w:t>
      </w:r>
      <w:r>
        <w:t xml:space="preserve">(a second reviewer, not the assessor, before the first internally circulated render): re-check</w:t>
      </w:r>
      <w:r>
        <w:t xml:space="preserve"> </w:t>
      </w:r>
      <w:r>
        <w:rPr>
          <w:b/>
          <w:bCs/>
        </w:rPr>
        <w:t xml:space="preserve">100% of prerequisite rows and 100% of Judged rows</w:t>
      </w:r>
      <w:r>
        <w:t xml:space="preserve">, plus a</w:t>
      </w:r>
      <w:r>
        <w:t xml:space="preserve"> </w:t>
      </w:r>
      <w:r>
        <w:rPr>
          <w:b/>
          <w:bCs/>
        </w:rPr>
        <w:t xml:space="preserve">15% sample of the remainder</w:t>
      </w:r>
      <w:r>
        <w:t xml:space="preserve"> </w:t>
      </w:r>
      <w:r>
        <w:t xml:space="preserve">— does the source resolve, is the class correctly derived, is the ladder level justified at the quality/scale rungs? Disagreements are logged and resolved by evidence, not seniority; an unresolvable row honestly reverts to Judged or Gap. (Proportionality: on the Nigeria pass this is 12 prerequisite + 8 Judged rows plus ~6 sampled — hours, not days.)</w:t>
      </w:r>
    </w:p>
    <w:p>
      <w:pPr>
        <w:pStyle w:val="BodyText"/>
      </w:pPr>
      <w:r>
        <w:rPr>
          <w:b/>
          <w:bCs/>
        </w:rPr>
        <w:t xml:space="preserve">G3 — TTL sign-off</w:t>
      </w:r>
      <w:r>
        <w:t xml:space="preserve"> </w:t>
      </w:r>
      <w:r>
        <w:t xml:space="preserve">(before anything leaves the team): a recorded checklist — the four prohibitions hold; parenthesized bands are acknowledged in the transmittal; register rows are verified to the Source-Tier Protocol or explicitly marked illustrative; the QC footer line is accurate. Sign-off (name, date) is recorded in the workbook Read Me. This gate operationalizes prohibition 4:</w:t>
      </w:r>
      <w:r>
        <w:t xml:space="preserve"> </w:t>
      </w:r>
      <w:r>
        <w:rPr>
          <w:i/>
          <w:iCs/>
        </w:rPr>
        <w:t xml:space="preserve">no public claim before human review</w:t>
      </w:r>
      <w:r>
        <w:t xml:space="preserve">.</w:t>
      </w:r>
    </w:p>
    <w:bookmarkEnd w:id="11"/>
    <w:bookmarkStart w:id="12" w:name="the-issues-log"/>
    <w:p>
      <w:pPr>
        <w:pStyle w:val="Heading2"/>
      </w:pPr>
      <w:r>
        <w:t xml:space="preserve">The issues log</w:t>
      </w:r>
    </w:p>
    <w:p>
      <w:pPr>
        <w:pStyle w:val="FirstParagraph"/>
      </w:pPr>
      <w:r>
        <w:t xml:space="preserve">Every QC finding — automated failure, G2 disagreement, G3 exception — is appended to an</w:t>
      </w:r>
      <w:r>
        <w:t xml:space="preserve"> </w:t>
      </w:r>
      <w:r>
        <w:rPr>
          <w:b/>
          <w:bCs/>
        </w:rPr>
        <w:t xml:space="preserve">Issues sheet</w:t>
      </w:r>
      <w:r>
        <w:t xml:space="preserve"> </w:t>
      </w:r>
      <w:r>
        <w:t xml:space="preserve">(finding · row · action · resolver · date). Fixes change</w:t>
      </w:r>
      <w:r>
        <w:t xml:space="preserve"> </w:t>
      </w:r>
      <w:r>
        <w:rPr>
          <w:b/>
          <w:bCs/>
        </w:rPr>
        <w:t xml:space="preserve">entries</w:t>
      </w:r>
      <w:r>
        <w:t xml:space="preserve"> </w:t>
      </w:r>
      <w:r>
        <w:t xml:space="preserve">(value, source, year); derived fields are never edited directly. The log ships inside the workbook, not beside it.</w:t>
      </w:r>
    </w:p>
    <w:bookmarkEnd w:id="12"/>
    <w:bookmarkStart w:id="13" w:name="cadence"/>
    <w:p>
      <w:pPr>
        <w:pStyle w:val="Heading2"/>
      </w:pPr>
      <w:r>
        <w:t xml:space="preserve">Cadence</w:t>
      </w:r>
    </w:p>
    <w:p>
      <w:pPr>
        <w:pStyle w:val="FirstParagraph"/>
      </w:pPr>
      <w:r>
        <w:t xml:space="preserve">G1 once per machine pass · automated checks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render (idempotent) · G2 before first internal circulation and after any batch of entry changes · G3 before any external eyes, repeated on material revision.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2026-08-22T22:36:31Z</dcterms:created>
  <dcterms:modified xsi:type="dcterms:W3CDTF">2026-08-22T22:36:31Z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