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amm-v1.7-source-tier-protocol"/>
    <w:p>
      <w:pPr>
        <w:pStyle w:val="Heading1"/>
      </w:pPr>
      <w:r>
        <w:t xml:space="preserve">DAMM v1.7 — Source-Tier Protocol</w:t>
      </w:r>
    </w:p>
    <w:p>
      <w:pPr>
        <w:pStyle w:val="FirstParagraph"/>
      </w:pPr>
      <w:r>
        <w:t xml:space="preserve">One page · 22 August 2026 · Companion to</w:t>
      </w:r>
      <w:r>
        <w:t xml:space="preserve"> </w:t>
      </w:r>
      <w:r>
        <w:rPr>
          <w:rStyle w:val="VerbatimChar"/>
        </w:rPr>
        <w:t xml:space="preserve">DAMM-v1.7-Specification.md</w:t>
      </w:r>
      <w:r>
        <w:t xml:space="preserve"> </w:t>
      </w:r>
      <w:r>
        <w:t xml:space="preserve">§3 (tier field) and §9 (two-register report)</w:t>
      </w:r>
    </w:p>
    <w:p>
      <w:pPr>
        <w:pStyle w:val="BodyText"/>
      </w:pPr>
      <w:r>
        <w:rPr>
          <w:b/>
          <w:bCs/>
        </w:rPr>
        <w:t xml:space="preserve">Why it exists.</w:t>
      </w:r>
      <w:r>
        <w:t xml:space="preserve"> </w:t>
      </w:r>
      <w:r>
        <w:t xml:space="preserve">The August 2026 ARI comparison (Egypt + Nigeria AI desk reports) showed the failure mode this protocol prevents: ~150–200 sources per report with no hierarchy — FAO flagships beside SEO content farms and scraped page code — and citations that do not resolve (domain-root URLs). Breadth without hierarchy is decoration. DAMM’s rule is the reverse:</w:t>
      </w:r>
      <w:r>
        <w:t xml:space="preserve"> </w:t>
      </w:r>
      <w:r>
        <w:rPr>
          <w:b/>
          <w:bCs/>
        </w:rPr>
        <w:t xml:space="preserve">fewer sources, each resolvable, each tiered.</w:t>
      </w:r>
    </w:p>
    <w:bookmarkStart w:id="9" w:name="the-tiers"/>
    <w:p>
      <w:pPr>
        <w:pStyle w:val="Heading2"/>
      </w:pPr>
      <w:r>
        <w:t xml:space="preserve">The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Admissible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Official statistics &amp; IO databases</w:t>
            </w:r>
          </w:p>
        </w:tc>
        <w:tc>
          <w:tcPr/>
          <w:p>
            <w:pPr>
              <w:pStyle w:val="Compact"/>
            </w:pPr>
            <w:r>
              <w:t xml:space="preserve">FAOSTAT, AQUASTAT, WDI, ITU DataHub, Global Findex, ASTI, FSIN/IPC, DHS/LSMS, national statistical office releases</w:t>
            </w:r>
          </w:p>
        </w:tc>
        <w:tc>
          <w:tcPr/>
          <w:p>
            <w:pPr>
              <w:pStyle w:val="Compact"/>
            </w:pPr>
            <w:r>
              <w:t xml:space="preserve">Any claim; the default for every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Peer-reviewed literature &amp; IO flagship/analytical reports</w:t>
            </w:r>
          </w:p>
        </w:tc>
        <w:tc>
          <w:tcPr/>
          <w:p>
            <w:pPr>
              <w:pStyle w:val="Compact"/>
            </w:pPr>
            <w:r>
              <w:t xml:space="preserve">Journal articles, systematic reviews, World Bank/FAO/IFPRI/CGIAR flagships, evaluated impact studies</w:t>
            </w:r>
          </w:p>
        </w:tc>
        <w:tc>
          <w:tcPr/>
          <w:p>
            <w:pPr>
              <w:pStyle w:val="Compact"/>
            </w:pPr>
            <w:r>
              <w:t xml:space="preserve">Any claim;</w:t>
            </w:r>
            <w:r>
              <w:t xml:space="preserve"> </w:t>
            </w:r>
            <w:r>
              <w:rPr>
                <w:b/>
                <w:bCs/>
              </w:rPr>
              <w:t xml:space="preserve">required</w:t>
            </w:r>
            <w:r>
              <w:t xml:space="preserve"> </w:t>
            </w:r>
            <w:r>
              <w:t xml:space="preserve">for impact and effectiveness claims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Government legal, policy &amp; budget artifacts</w:t>
            </w:r>
          </w:p>
        </w:tc>
        <w:tc>
          <w:tcPr/>
          <w:p>
            <w:pPr>
              <w:pStyle w:val="Compact"/>
            </w:pPr>
            <w:r>
              <w:t xml:space="preserve">Gazetted laws, adopted strategies, budgets, regulator reports (e.g. NCC), official program documents</w:t>
            </w:r>
          </w:p>
        </w:tc>
        <w:tc>
          <w:tcPr/>
          <w:p>
            <w:pPr>
              <w:pStyle w:val="Compact"/>
            </w:pPr>
            <w:r>
              <w:t xml:space="preserve">Presence facts (the ladder’s rung 1), policy intent, program design —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Reputable grey literature</w:t>
            </w:r>
          </w:p>
        </w:tc>
        <w:tc>
          <w:tcPr/>
          <w:p>
            <w:pPr>
              <w:pStyle w:val="Compact"/>
            </w:pPr>
            <w:r>
              <w:t xml:space="preserve">GSMA, GIZ/USAID/AGRA/donor reports and evaluations, established industry analyses</w:t>
            </w:r>
          </w:p>
        </w:tc>
        <w:tc>
          <w:tcPr/>
          <w:p>
            <w:pPr>
              <w:pStyle w:val="Compact"/>
            </w:pPr>
            <w:r>
              <w:t xml:space="preserve">Context and sector narrative, flagged as T4; presence facts where T3 is silent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News, vendor &amp; market material</w:t>
            </w:r>
          </w:p>
        </w:tc>
        <w:tc>
          <w:tcPr/>
          <w:p>
            <w:pPr>
              <w:pStyle w:val="Compact"/>
            </w:pPr>
            <w:r>
              <w:t xml:space="preserve">Press, startup/vendor sites, market-research releases, blogs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Initiative register only, existence facts only</w:t>
            </w:r>
            <w:r>
              <w:t xml:space="preserve"> </w:t>
            </w:r>
            <w:r>
              <w:t xml:space="preserve">(an initiative exists, launched, raised, closed). Never statistics, never impact.</w:t>
            </w:r>
          </w:p>
        </w:tc>
      </w:tr>
    </w:tbl>
    <w:bookmarkEnd w:id="9"/>
    <w:bookmarkStart w:id="10" w:name="the-rules"/>
    <w:p>
      <w:pPr>
        <w:pStyle w:val="Heading2"/>
      </w:pPr>
      <w:r>
        <w:t xml:space="preserve">The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 order per indicator:</w:t>
      </w:r>
      <w:r>
        <w:t xml:space="preserve"> </w:t>
      </w:r>
      <w:r>
        <w:t xml:space="preserve">API/T1 first (19 of 57 are machine-fetchable), then T2 → T3 → T4, stop when found. A dead end is recorded as the Gap value with its search trail (</w:t>
      </w:r>
      <w:r>
        <w:t xml:space="preserve">“DATA GAP — searched FAOSTAT, FMAFS, NBS 2026-08”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Triangulation:</w:t>
      </w:r>
      <w:r>
        <w:t xml:space="preserve"> </w:t>
      </w:r>
      <w:r>
        <w:t xml:space="preserve">a load-bearing number (anything quoted in the problem statement, matrix, or KPI baseline) needs two independent T1–T2 confirmations, or ships flagged</w:t>
      </w:r>
      <w:r>
        <w:t xml:space="preserve"> </w:t>
      </w:r>
      <w:r>
        <w:rPr>
          <w:i/>
          <w:iCs/>
        </w:rPr>
        <w:t xml:space="preserve">single-source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Resolvability:</w:t>
      </w:r>
      <w:r>
        <w:t xml:space="preserve"> </w:t>
      </w:r>
      <w:r>
        <w:t xml:space="preserve">every citation is a deep link to the document, with access date. T4–T5 links get an archived copy (Wayback) at capture time. A citation that resolves only to a domain root is not a citation.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is reported, never weighted.</w:t>
      </w:r>
      <w:r>
        <w:t xml:space="preserve"> </w:t>
      </w:r>
      <w:r>
        <w:t xml:space="preserve">It renders in the evidence panel and ledger (</w:t>
      </w:r>
      <w:r>
        <w:t xml:space="preserve">“Documented · T4”</w:t>
      </w:r>
      <w:r>
        <w:t xml:space="preserve">) and in narrative citation badges. It never enters level or band arithmetic — weighting tiers would rebuild the confidence weights v1.7 removed.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narrative firewall (spec §9):</w:t>
      </w:r>
      <w:r>
        <w:t xml:space="preserve"> </w:t>
      </w:r>
      <w:r>
        <w:t xml:space="preserve">researched narrative may cite any tier under these rules;</w:t>
      </w:r>
      <w:r>
        <w:t xml:space="preserve"> </w:t>
      </w:r>
      <w:r>
        <w:rPr>
          <w:b/>
          <w:bCs/>
        </w:rPr>
        <w:t xml:space="preserve">no narrative claim ever sets a level.</w:t>
      </w:r>
      <w:r>
        <w:t xml:space="preserve"> </w:t>
      </w:r>
      <w:r>
        <w:t xml:space="preserve">Levels come from recorded values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Vintage beats tier at the margin:</w:t>
      </w:r>
      <w:r>
        <w:t xml:space="preserve"> </w:t>
      </w:r>
      <w:r>
        <w:t xml:space="preserve">a 2024 T2 estimate outranks a 2017 T1 figure for the</w:t>
      </w:r>
      <w:r>
        <w:t xml:space="preserve"> </w:t>
      </w:r>
      <w:r>
        <w:rPr>
          <w:i/>
          <w:iCs/>
        </w:rPr>
        <w:t xml:space="preserve">narrative</w:t>
      </w:r>
      <w:r>
        <w:t xml:space="preserve">; the</w:t>
      </w:r>
      <w:r>
        <w:t xml:space="preserve"> </w:t>
      </w:r>
      <w:r>
        <w:rPr>
          <w:i/>
          <w:iCs/>
        </w:rPr>
        <w:t xml:space="preserve">scored row</w:t>
      </w:r>
      <w:r>
        <w:t xml:space="preserve"> </w:t>
      </w:r>
      <w:r>
        <w:t xml:space="preserve">records the T1 figure and its staleness honestly, and the ledger routes it for refresh.</w:t>
      </w:r>
    </w:p>
    <w:bookmarkEnd w:id="10"/>
    <w:bookmarkStart w:id="11" w:name="Xe19c2d3e4989df8ec67145c1c75080d24840e27"/>
    <w:p>
      <w:pPr>
        <w:pStyle w:val="Heading2"/>
      </w:pPr>
      <w:r>
        <w:t xml:space="preserve">Starter domain→tier lookup (machine rows; §13.6 to confirm)</w:t>
      </w:r>
    </w:p>
    <w:p>
      <w:pPr>
        <w:pStyle w:val="FirstParagraph"/>
      </w:pPr>
      <w:r>
        <w:rPr>
          <w:rStyle w:val="VerbatimChar"/>
        </w:rPr>
        <w:t xml:space="preserve">fao.org / faostat / aquastat / worldbank.org / data.worldbank.org / itu.int / ifad.org / wfp.org / findex</w:t>
      </w:r>
      <w:r>
        <w:t xml:space="preserve"> </w:t>
      </w:r>
      <w:r>
        <w:t xml:space="preserve">→ T1 ·</w:t>
      </w:r>
      <w:r>
        <w:t xml:space="preserve"> </w:t>
      </w:r>
      <w:r>
        <w:rPr>
          <w:rStyle w:val="VerbatimChar"/>
        </w:rPr>
        <w:t xml:space="preserve">openknowledge.worldbank.org / cgiar.org / ifpri.org / doi.org / nature.com / sciencedirect / springer / frontiersin</w:t>
      </w:r>
      <w:r>
        <w:t xml:space="preserve"> </w:t>
      </w:r>
      <w:r>
        <w:t xml:space="preserve">→ T2 ·</w:t>
      </w:r>
      <w:r>
        <w:t xml:space="preserve"> </w:t>
      </w:r>
      <w:r>
        <w:rPr>
          <w:rStyle w:val="VerbatimChar"/>
        </w:rPr>
        <w:t xml:space="preserve">*.gov.* / *.go.* / faolex / official gazettes / regulator domains (e.g. ncc.gov.ng)</w:t>
      </w:r>
      <w:r>
        <w:t xml:space="preserve"> </w:t>
      </w:r>
      <w:r>
        <w:t xml:space="preserve">→ T3 ·</w:t>
      </w:r>
      <w:r>
        <w:t xml:space="preserve"> </w:t>
      </w:r>
      <w:r>
        <w:rPr>
          <w:rStyle w:val="VerbatimChar"/>
        </w:rPr>
        <w:t xml:space="preserve">gsma.com / giz.de / usaid.gov / agra.org / reliefweb.int</w:t>
      </w:r>
      <w:r>
        <w:t xml:space="preserve"> </w:t>
      </w:r>
      <w:r>
        <w:t xml:space="preserve">→ T4 · everything else → T5 until reviewed.</w:t>
      </w:r>
    </w:p>
    <w:p>
      <w:pPr>
        <w:pStyle w:val="BodyText"/>
      </w:pPr>
      <w:r>
        <w:rPr>
          <w:b/>
          <w:bCs/>
        </w:rPr>
        <w:t xml:space="preserve">Open judgment calls (flag for Katreyna, spec §13.6):</w:t>
      </w:r>
      <w:r>
        <w:t xml:space="preserve"> </w:t>
      </w:r>
      <w:r>
        <w:t xml:space="preserve">national statistical offices with documented quality concerns (row-by-row, not blanket demotion); donor project completion reports (T2 if independently evaluated, T4 otherwise); Wikipedia and encyclopedias (not citable at any tier — follow their references instead).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2026-08-22T22:36:31Z</dcterms:created>
  <dcterms:modified xsi:type="dcterms:W3CDTF">2026-08-22T22:36:31Z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