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gauntlet-loop-1-issues-log"/>
    <w:p>
      <w:pPr>
        <w:pStyle w:val="Heading1"/>
      </w:pPr>
      <w:r>
        <w:t xml:space="preserve">Gauntlet loop 1 — issues log</w:t>
      </w:r>
    </w:p>
    <w:p>
      <w:pPr>
        <w:pStyle w:val="FirstParagraph"/>
      </w:pPr>
      <w:r>
        <w:t xml:space="preserve">DAMM v1.6→v1.7 · Egypt + Nigeria clean slate · started 22 Aug 2026</w:t>
      </w:r>
      <w:r>
        <w:t xml:space="preserve"> </w:t>
      </w:r>
      <w:r>
        <w:t xml:space="preserve">Classes: D1 data/search failure · D2 protocol ambiguity · D3 instrument defect · D4 engine/renderer bug · D5 presentation defect · D6 spec contradiction.</w:t>
      </w:r>
      <w:r>
        <w:t xml:space="preserve"> </w:t>
      </w:r>
      <w:r>
        <w:t xml:space="preserve">Rule: fixes land at the root (spec/protocol/census/engine/renderer), never in outputs.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Class</w:t>
            </w:r>
          </w:p>
        </w:tc>
        <w:tc>
          <w:tcPr/>
          <w:p>
            <w:pPr>
              <w:pStyle w:val="Compact"/>
            </w:pPr>
            <w:r>
              <w:t xml:space="preserve">Found by</w:t>
            </w:r>
          </w:p>
        </w:tc>
        <w:tc>
          <w:tcPr/>
          <w:p>
            <w:pPr>
              <w:pStyle w:val="Compact"/>
            </w:pPr>
            <w:r>
              <w:t xml:space="preserve">Finding</w:t>
            </w:r>
          </w:p>
        </w:tc>
        <w:tc>
          <w:tcPr/>
          <w:p>
            <w:pPr>
              <w:pStyle w:val="Compact"/>
            </w:pPr>
            <w:r>
              <w:t xml:space="preserve">Root-cause fix</w:t>
            </w:r>
          </w:p>
        </w:tc>
        <w:tc>
          <w:tcPr/>
          <w:p>
            <w:pPr>
              <w:pStyle w:val="Compact"/>
            </w:pPr>
            <w:r>
              <w:t xml:space="preserve">Status</w:t>
            </w:r>
          </w:p>
        </w:tc>
      </w:tr>
      <w:tr>
        <w:tc>
          <w:tcPr/>
          <w:p>
            <w:pPr>
              <w:pStyle w:val="Compact"/>
            </w:pPr>
            <w:r>
              <w:t xml:space="preserve">1</w:t>
            </w:r>
          </w:p>
        </w:tc>
        <w:tc>
          <w:tcPr/>
          <w:p>
            <w:pPr>
              <w:pStyle w:val="Compact"/>
            </w:pPr>
            <w:r>
              <w:t xml:space="preserve">D3</w:t>
            </w:r>
          </w:p>
        </w:tc>
        <w:tc>
          <w:tcPr/>
          <w:p>
            <w:pPr>
              <w:pStyle w:val="Compact"/>
            </w:pPr>
            <w:r>
              <w:t xml:space="preserve">Engine read</w:t>
            </w:r>
          </w:p>
        </w:tc>
        <w:tc>
          <w:tcPr/>
          <w:p>
            <w:pPr>
              <w:pStyle w:val="Compact"/>
            </w:pPr>
            <w:r>
              <w:t xml:space="preserve">A1 thresholds are marked</w:t>
            </w:r>
            <w:r>
              <w:t xml:space="preserve"> </w:t>
            </w:r>
            <w:r>
              <w:t xml:space="preserve">“TEST values pending ratification”</w:t>
            </w:r>
            <w:r>
              <w:t xml:space="preserve"> </w:t>
            </w:r>
            <w:r>
              <w:t xml:space="preserve">in the engine — the entire A1 pillar scores on unratified cut-points</w:t>
            </w:r>
          </w:p>
        </w:tc>
        <w:tc>
          <w:tcPr/>
          <w:p>
            <w:pPr>
              <w:pStyle w:val="Compact"/>
            </w:pPr>
            <w:r>
              <w:t xml:space="preserve">Add to Katreyna package as §13 evidence: loop-1 A1 values for both countries shown against the test thresholds</w:t>
            </w:r>
          </w:p>
        </w:tc>
        <w:tc>
          <w:tcPr/>
          <w:p>
            <w:pPr>
              <w:pStyle w:val="Compact"/>
            </w:pPr>
            <w:r>
              <w:t xml:space="preserve">OPEN — decision item</w:t>
            </w:r>
          </w:p>
        </w:tc>
      </w:tr>
      <w:tr>
        <w:tc>
          <w:tcPr/>
          <w:p>
            <w:pPr>
              <w:pStyle w:val="Compact"/>
            </w:pPr>
            <w:r>
              <w:t xml:space="preserve">2</w:t>
            </w:r>
          </w:p>
        </w:tc>
        <w:tc>
          <w:tcPr/>
          <w:p>
            <w:pPr>
              <w:pStyle w:val="Compact"/>
            </w:pPr>
            <w:r>
              <w:t xml:space="preserve">D3</w:t>
            </w:r>
          </w:p>
        </w:tc>
        <w:tc>
          <w:tcPr/>
          <w:p>
            <w:pPr>
              <w:pStyle w:val="Compact"/>
            </w:pPr>
            <w:r>
              <w:t xml:space="preserve">Machine pass</w:t>
            </w:r>
          </w:p>
        </w:tc>
        <w:tc>
          <w:tcPr/>
          <w:p>
            <w:pPr>
              <w:pStyle w:val="Compact"/>
            </w:pPr>
            <w:r>
              <w:t xml:space="preserve">5.3</w:t>
            </w:r>
            <w:r>
              <w:t xml:space="preserve"> </w:t>
            </w:r>
            <w:r>
              <w:t xml:space="preserve">“Tertiary STEM enrollment (% gross)”</w:t>
            </w:r>
            <w:r>
              <w:t xml:space="preserve"> </w:t>
            </w:r>
            <w:r>
              <w:t xml:space="preserve">has no API source; WDI SE.TER.ENRR (total tertiary) used as proxy in both the prior run and loop 1</w:t>
            </w:r>
          </w:p>
        </w:tc>
        <w:tc>
          <w:tcPr/>
          <w:p>
            <w:pPr>
              <w:pStyle w:val="Compact"/>
            </w:pPr>
            <w:r>
              <w:t xml:space="preserve">Census fix candidate: either rename the indicator to total tertiary enrollment or accept UNESCO UIS STEM split (patchy) — §13 item</w:t>
            </w:r>
          </w:p>
        </w:tc>
        <w:tc>
          <w:tcPr/>
          <w:p>
            <w:pPr>
              <w:pStyle w:val="Compact"/>
            </w:pPr>
            <w:r>
              <w:t xml:space="preserve">OPEN — decision item</w:t>
            </w:r>
          </w:p>
        </w:tc>
      </w:tr>
      <w:tr>
        <w:tc>
          <w:tcPr/>
          <w:p>
            <w:pPr>
              <w:pStyle w:val="Compact"/>
            </w:pPr>
            <w:r>
              <w:t xml:space="preserve">3</w:t>
            </w:r>
          </w:p>
        </w:tc>
        <w:tc>
          <w:tcPr/>
          <w:p>
            <w:pPr>
              <w:pStyle w:val="Compact"/>
            </w:pPr>
            <w:r>
              <w:t xml:space="preserve">D4</w:t>
            </w:r>
          </w:p>
        </w:tc>
        <w:tc>
          <w:tcPr/>
          <w:p>
            <w:pPr>
              <w:pStyle w:val="Compact"/>
            </w:pPr>
            <w:r>
              <w:t xml:space="preserve">Pipeline build</w:t>
            </w:r>
          </w:p>
        </w:tc>
        <w:tc>
          <w:tcPr/>
          <w:p>
            <w:pPr>
              <w:pStyle w:val="Compact"/>
            </w:pPr>
            <w:r>
              <w:t xml:space="preserve">Reference renderer was single-country (Nigeria-hardcoded brief, questions, impact map, narratives, masthead)</w:t>
            </w:r>
          </w:p>
        </w:tc>
        <w:tc>
          <w:tcPr/>
          <w:p>
            <w:pPr>
              <w:pStyle w:val="Compact"/>
            </w:pPr>
            <w:r>
              <w:t xml:space="preserve">render_v17.py: config-driven; strategic questions + brief + impact crosswalk now derived mechanically from data (spec §9 made executable)</w:t>
            </w:r>
          </w:p>
        </w:tc>
        <w:tc>
          <w:tcPr/>
          <w:p>
            <w:pPr>
              <w:pStyle w:val="Compact"/>
            </w:pPr>
            <w:r>
              <w:t xml:space="preserve">FIXED — smoke-tested</w:t>
            </w:r>
          </w:p>
        </w:tc>
      </w:tr>
      <w:tr>
        <w:tc>
          <w:tcPr/>
          <w:p>
            <w:pPr>
              <w:pStyle w:val="Compact"/>
            </w:pPr>
            <w:r>
              <w:t xml:space="preserve">4</w:t>
            </w:r>
          </w:p>
        </w:tc>
        <w:tc>
          <w:tcPr/>
          <w:p>
            <w:pPr>
              <w:pStyle w:val="Compact"/>
            </w:pPr>
            <w:r>
              <w:t xml:space="preserve">D4</w:t>
            </w:r>
          </w:p>
        </w:tc>
        <w:tc>
          <w:tcPr/>
          <w:p>
            <w:pPr>
              <w:pStyle w:val="Compact"/>
            </w:pPr>
            <w:r>
              <w:t xml:space="preserve">Pipeline build</w:t>
            </w:r>
          </w:p>
        </w:tc>
        <w:tc>
          <w:tcPr/>
          <w:p>
            <w:pPr>
              <w:pStyle w:val="Compact"/>
            </w:pPr>
            <w:r>
              <w:t xml:space="preserve">Reference engine hardcoded both countries’ data in source</w:t>
            </w:r>
          </w:p>
        </w:tc>
        <w:tc>
          <w:tcPr/>
          <w:p>
            <w:pPr>
              <w:pStyle w:val="Compact"/>
            </w:pPr>
            <w:r>
              <w:t xml:space="preserve">engine_v17.py: JSON-in/JSON-out, tier/url provenance passthrough, candidates carried unscored</w:t>
            </w:r>
          </w:p>
        </w:tc>
        <w:tc>
          <w:tcPr/>
          <w:p>
            <w:pPr>
              <w:pStyle w:val="Compact"/>
            </w:pPr>
            <w:r>
              <w:t xml:space="preserve">FIXED</w:t>
            </w:r>
          </w:p>
        </w:tc>
      </w:tr>
      <w:tr>
        <w:tc>
          <w:tcPr/>
          <w:p>
            <w:pPr>
              <w:pStyle w:val="Compact"/>
            </w:pPr>
            <w:r>
              <w:t xml:space="preserve">5</w:t>
            </w:r>
          </w:p>
        </w:tc>
        <w:tc>
          <w:tcPr/>
          <w:p>
            <w:pPr>
              <w:pStyle w:val="Compact"/>
            </w:pPr>
            <w:r>
              <w:t xml:space="preserve">D2</w:t>
            </w:r>
          </w:p>
        </w:tc>
        <w:tc>
          <w:tcPr/>
          <w:p>
            <w:pPr>
              <w:pStyle w:val="Compact"/>
            </w:pPr>
            <w:r>
              <w:t xml:space="preserve">Machine pass</w:t>
            </w:r>
          </w:p>
        </w:tc>
        <w:tc>
          <w:tcPr/>
          <w:p>
            <w:pPr>
              <w:pStyle w:val="Compact"/>
            </w:pPr>
            <w:r>
              <w:t xml:space="preserve">Egypt AG.LND.IRIG.AG.ZS (irrigation candidate) empty in WDI — protocol needs a stated fallback order for candidate indicators (WDI→AQUASTAT→FAOSTAT)</w:t>
            </w:r>
          </w:p>
        </w:tc>
        <w:tc>
          <w:tcPr/>
          <w:p>
            <w:pPr>
              <w:pStyle w:val="Compact"/>
            </w:pPr>
            <w:r>
              <w:t xml:space="preserve">Routed to research (AQUASTAT); protocol fallback note pending loop-1 close</w:t>
            </w:r>
          </w:p>
        </w:tc>
        <w:tc>
          <w:tcPr/>
          <w:p>
            <w:pPr>
              <w:pStyle w:val="Compact"/>
            </w:pPr>
            <w:r>
              <w:t xml:space="preserve">OPEN</w:t>
            </w:r>
          </w:p>
        </w:tc>
      </w:tr>
      <w:tr>
        <w:tc>
          <w:tcPr/>
          <w:p>
            <w:pPr>
              <w:pStyle w:val="Compact"/>
            </w:pPr>
            <w:r>
              <w:t xml:space="preserve">6</w:t>
            </w:r>
          </w:p>
        </w:tc>
        <w:tc>
          <w:tcPr/>
          <w:p>
            <w:pPr>
              <w:pStyle w:val="Compact"/>
            </w:pPr>
            <w:r>
              <w:t xml:space="preserve">D5</w:t>
            </w:r>
          </w:p>
        </w:tc>
        <w:tc>
          <w:tcPr/>
          <w:p>
            <w:pPr>
              <w:pStyle w:val="Compact"/>
            </w:pPr>
            <w:r>
              <w:t xml:space="preserve">Renderer refactor</w:t>
            </w:r>
          </w:p>
        </w:tc>
        <w:tc>
          <w:tcPr/>
          <w:p>
            <w:pPr>
              <w:pStyle w:val="Compact"/>
            </w:pPr>
            <w:r>
              <w:t xml:space="preserve">Precedent-pointer keying was by hand-written question tag; now keyed by indicator id — config precedents survive question re-derivation</w:t>
            </w:r>
          </w:p>
        </w:tc>
        <w:tc>
          <w:tcPr/>
          <w:p>
            <w:pPr>
              <w:pStyle w:val="Compact"/>
            </w:pPr>
            <w:r>
              <w:t xml:space="preserve">Fixed in render_v17 derive_questions</w:t>
            </w:r>
          </w:p>
        </w:tc>
        <w:tc>
          <w:tcPr/>
          <w:p>
            <w:pPr>
              <w:pStyle w:val="Compact"/>
            </w:pPr>
            <w:r>
              <w:t xml:space="preserve">FIXED</w:t>
            </w:r>
          </w:p>
        </w:tc>
      </w:tr>
      <w:tr>
        <w:tc>
          <w:tcPr/>
          <w:p>
            <w:pPr>
              <w:pStyle w:val="Compact"/>
            </w:pPr>
            <w:r>
              <w:t xml:space="preserve">7</w:t>
            </w:r>
          </w:p>
        </w:tc>
        <w:tc>
          <w:tcPr/>
          <w:p>
            <w:pPr>
              <w:pStyle w:val="Compact"/>
            </w:pPr>
            <w:r>
              <w:t xml:space="preserve">D2</w:t>
            </w:r>
          </w:p>
        </w:tc>
        <w:tc>
          <w:tcPr/>
          <w:p>
            <w:pPr>
              <w:pStyle w:val="Compact"/>
            </w:pPr>
            <w:r>
              <w:t xml:space="preserve">Research agents</w:t>
            </w:r>
          </w:p>
        </w:tc>
        <w:tc>
          <w:tcPr/>
          <w:p>
            <w:pPr>
              <w:pStyle w:val="Compact"/>
            </w:pPr>
            <w:r>
              <w:t xml:space="preserve">Tier field returned as verbose free text (</w:t>
            </w:r>
            <w:r>
              <w:t xml:space="preserve">“T2 (FAO brief) + T3 (…)”</w:t>
            </w:r>
            <w:r>
              <w:t xml:space="preserve">) — schema permitted any string</w:t>
            </w:r>
          </w:p>
        </w:tc>
        <w:tc>
          <w:tcPr/>
          <w:p>
            <w:pPr>
              <w:pStyle w:val="Compact"/>
            </w:pPr>
            <w:r>
              <w:t xml:space="preserve">Loop-1: normalizer in build_inputs (first T# token + tier_detail); loop-2: schema enum + separate tier_note field in the workflow</w:t>
            </w:r>
          </w:p>
        </w:tc>
        <w:tc>
          <w:tcPr/>
          <w:p>
            <w:pPr>
              <w:pStyle w:val="Compact"/>
            </w:pPr>
            <w:r>
              <w:t xml:space="preserve">FIXED (normalizer); schema fix queued loop 2</w:t>
            </w:r>
          </w:p>
        </w:tc>
      </w:tr>
      <w:tr>
        <w:tc>
          <w:tcPr/>
          <w:p>
            <w:pPr>
              <w:pStyle w:val="Compact"/>
            </w:pPr>
            <w:r>
              <w:t xml:space="preserve">8</w:t>
            </w:r>
          </w:p>
        </w:tc>
        <w:tc>
          <w:tcPr/>
          <w:p>
            <w:pPr>
              <w:pStyle w:val="Compact"/>
            </w:pPr>
            <w:r>
              <w:t xml:space="preserve">D-PROC</w:t>
            </w:r>
          </w:p>
        </w:tc>
        <w:tc>
          <w:tcPr/>
          <w:p>
            <w:pPr>
              <w:pStyle w:val="Compact"/>
            </w:pPr>
            <w:r>
              <w:t xml:space="preserve">Research agents</w:t>
            </w:r>
          </w:p>
        </w:tc>
        <w:tc>
          <w:tcPr/>
          <w:p>
            <w:pPr>
              <w:pStyle w:val="Compact"/>
            </w:pPr>
            <w:r>
              <w:t xml:space="preserve">FAOSTAT interactive API now requires an Authorization header — breaks the anonymous machine-fetch route the spec’s</w:t>
            </w:r>
            <w:r>
              <w:t xml:space="preserve"> </w:t>
            </w:r>
            <w:r>
              <w:t xml:space="preserve">“19 of 57 machine-fetchable”</w:t>
            </w:r>
            <w:r>
              <w:t xml:space="preserve"> </w:t>
            </w:r>
            <w:r>
              <w:t xml:space="preserve">count assumed</w:t>
            </w:r>
          </w:p>
        </w:tc>
        <w:tc>
          <w:tcPr/>
          <w:p>
            <w:pPr>
              <w:pStyle w:val="Compact"/>
            </w:pPr>
            <w:r>
              <w:t xml:space="preserve">Protocol addendum: standardize on the open bulk-file route (bulks-faostat.fao.org); spec count to be re-audited</w:t>
            </w:r>
          </w:p>
        </w:tc>
        <w:tc>
          <w:tcPr/>
          <w:p>
            <w:pPr>
              <w:pStyle w:val="Compact"/>
            </w:pPr>
            <w:r>
              <w:t xml:space="preserve">OPEN</w:t>
            </w:r>
          </w:p>
        </w:tc>
      </w:tr>
      <w:tr>
        <w:tc>
          <w:tcPr/>
          <w:p>
            <w:pPr>
              <w:pStyle w:val="Compact"/>
            </w:pPr>
            <w:r>
              <w:t xml:space="preserve">9</w:t>
            </w:r>
          </w:p>
        </w:tc>
        <w:tc>
          <w:tcPr/>
          <w:p>
            <w:pPr>
              <w:pStyle w:val="Compact"/>
            </w:pPr>
            <w:r>
              <w:t xml:space="preserve">D-PROC</w:t>
            </w:r>
          </w:p>
        </w:tc>
        <w:tc>
          <w:tcPr/>
          <w:p>
            <w:pPr>
              <w:pStyle w:val="Compact"/>
            </w:pPr>
            <w:r>
              <w:t xml:space="preserve">Research agents</w:t>
            </w:r>
          </w:p>
        </w:tc>
        <w:tc>
          <w:tcPr/>
          <w:p>
            <w:pPr>
              <w:pStyle w:val="Compact"/>
            </w:pPr>
            <w:r>
              <w:t xml:space="preserve">ITU DataHub bot-protected (403 on all routes) — affects 2.5 price basket and 4.2 GCI exact scores</w:t>
            </w:r>
          </w:p>
        </w:tc>
        <w:tc>
          <w:tcPr/>
          <w:p>
            <w:pPr>
              <w:pStyle w:val="Compact"/>
            </w:pPr>
            <w:r>
              <w:t xml:space="preserve">Alternates used (regulator T3, GSMA T4); protocol fallback note pending</w:t>
            </w:r>
          </w:p>
        </w:tc>
        <w:tc>
          <w:tcPr/>
          <w:p>
            <w:pPr>
              <w:pStyle w:val="Compact"/>
            </w:pPr>
            <w:r>
              <w:t xml:space="preserve">OPEN</w:t>
            </w:r>
          </w:p>
        </w:tc>
      </w:tr>
      <w:tr>
        <w:tc>
          <w:tcPr/>
          <w:p>
            <w:pPr>
              <w:pStyle w:val="Compact"/>
            </w:pPr>
            <w:r>
              <w:t xml:space="preserve">10</w:t>
            </w:r>
          </w:p>
        </w:tc>
        <w:tc>
          <w:tcPr/>
          <w:p>
            <w:pPr>
              <w:pStyle w:val="Compact"/>
            </w:pPr>
            <w:r>
              <w:t xml:space="preserve">D-PROC</w:t>
            </w:r>
          </w:p>
        </w:tc>
        <w:tc>
          <w:tcPr/>
          <w:p>
            <w:pPr>
              <w:pStyle w:val="Compact"/>
            </w:pPr>
            <w:r>
              <w:t xml:space="preserve">Research agents</w:t>
            </w:r>
          </w:p>
        </w:tc>
        <w:tc>
          <w:tcPr/>
          <w:p>
            <w:pPr>
              <w:pStyle w:val="Compact"/>
            </w:pPr>
            <w:r>
              <w:t xml:space="preserve">Session WebSearch budget (200 calls, shared) exhausted mid-run on Nigeria bundles — some loop-1 NGA gaps were budget-artifacts</w:t>
            </w:r>
          </w:p>
        </w:tc>
        <w:tc>
          <w:tcPr/>
          <w:p>
            <w:pPr>
              <w:pStyle w:val="Compact"/>
            </w:pPr>
            <w:r>
              <w:t xml:space="preserve">G2 gap-refuter re-attacks all gaps in a fresh pass; Exa/Jina keys would remove the constraint entirely (argument for the API-key setup)</w:t>
            </w:r>
          </w:p>
        </w:tc>
        <w:tc>
          <w:tcPr/>
          <w:p>
            <w:pPr>
              <w:pStyle w:val="Compact"/>
            </w:pPr>
            <w:r>
              <w:t xml:space="preserve">MITIGATED</w:t>
            </w:r>
          </w:p>
        </w:tc>
      </w:tr>
      <w:tr>
        <w:tc>
          <w:tcPr/>
          <w:p>
            <w:pPr>
              <w:pStyle w:val="Compact"/>
            </w:pPr>
            <w:r>
              <w:t xml:space="preserve">11</w:t>
            </w:r>
          </w:p>
        </w:tc>
        <w:tc>
          <w:tcPr/>
          <w:p>
            <w:pPr>
              <w:pStyle w:val="Compact"/>
            </w:pPr>
            <w:r>
              <w:t xml:space="preserve">D-PROC</w:t>
            </w:r>
          </w:p>
        </w:tc>
        <w:tc>
          <w:tcPr/>
          <w:p>
            <w:pPr>
              <w:pStyle w:val="Compact"/>
            </w:pPr>
            <w:r>
              <w:t xml:space="preserve">EGY_C agent</w:t>
            </w:r>
          </w:p>
        </w:tc>
        <w:tc>
          <w:tcPr/>
          <w:p>
            <w:pPr>
              <w:pStyle w:val="Compact"/>
            </w:pPr>
            <w:r>
              <w:t xml:space="preserve">Template bleed: Egypt bundle-C prompt carried Nigeria leads (my workflow authoring defect, caught by the agent)</w:t>
            </w:r>
          </w:p>
        </w:tc>
        <w:tc>
          <w:tcPr/>
          <w:p>
            <w:pPr>
              <w:pStyle w:val="Compact"/>
            </w:pPr>
            <w:r>
              <w:t xml:space="preserve">Loop-2 workflow script: per-country lead injection</w:t>
            </w:r>
          </w:p>
        </w:tc>
        <w:tc>
          <w:tcPr/>
          <w:p>
            <w:pPr>
              <w:pStyle w:val="Compact"/>
            </w:pPr>
            <w:r>
              <w:t xml:space="preserve">OPEN (loop 2)</w:t>
            </w:r>
          </w:p>
        </w:tc>
      </w:tr>
      <w:tr>
        <w:tc>
          <w:tcPr/>
          <w:p>
            <w:pPr>
              <w:pStyle w:val="Compact"/>
            </w:pPr>
            <w:r>
              <w:t xml:space="preserve">12</w:t>
            </w:r>
          </w:p>
        </w:tc>
        <w:tc>
          <w:tcPr/>
          <w:p>
            <w:pPr>
              <w:pStyle w:val="Compact"/>
            </w:pPr>
            <w:r>
              <w:t xml:space="preserve">D4</w:t>
            </w:r>
          </w:p>
        </w:tc>
        <w:tc>
          <w:tcPr/>
          <w:p>
            <w:pPr>
              <w:pStyle w:val="Compact"/>
            </w:pPr>
            <w:r>
              <w:t xml:space="preserve">G1 review</w:t>
            </w:r>
          </w:p>
        </w:tc>
        <w:tc>
          <w:tcPr/>
          <w:p>
            <w:pPr>
              <w:pStyle w:val="Compact"/>
            </w:pPr>
            <w:r>
              <w:t xml:space="preserve">build_inputs substantive() heuristic granted +scale on NEGATIVE evidence text (</w:t>
            </w:r>
            <w:r>
              <w:t xml:space="preserve">“None found: no published figures…”</w:t>
            </w:r>
            <w:r>
              <w:t xml:space="preserve"> </w:t>
            </w:r>
            <w:r>
              <w:t xml:space="preserve">passed the length test) — 12+ proposed L5s were over-granted</w:t>
            </w:r>
          </w:p>
        </w:tc>
        <w:tc>
          <w:tcPr/>
          <w:p>
            <w:pPr>
              <w:pStyle w:val="Compact"/>
            </w:pPr>
            <w:r>
              <w:t xml:space="preserve">Heuristic fixed (negative-prefix list); all loop-1 levels individually reviewed at G1 with reasons logged</w:t>
            </w:r>
          </w:p>
        </w:tc>
        <w:tc>
          <w:tcPr/>
          <w:p>
            <w:pPr>
              <w:pStyle w:val="Compact"/>
            </w:pPr>
            <w:r>
              <w:t xml:space="preserve">FIXED</w:t>
            </w:r>
          </w:p>
        </w:tc>
      </w:tr>
      <w:tr>
        <w:tc>
          <w:tcPr/>
          <w:p>
            <w:pPr>
              <w:pStyle w:val="Compact"/>
            </w:pPr>
            <w:r>
              <w:t xml:space="preserve">13</w:t>
            </w:r>
          </w:p>
        </w:tc>
        <w:tc>
          <w:tcPr/>
          <w:p>
            <w:pPr>
              <w:pStyle w:val="Compact"/>
            </w:pPr>
            <w:r>
              <w:t xml:space="preserve">D6</w:t>
            </w:r>
          </w:p>
        </w:tc>
        <w:tc>
          <w:tcPr/>
          <w:p>
            <w:pPr>
              <w:pStyle w:val="Compact"/>
            </w:pPr>
            <w:r>
              <w:t xml:space="preserve">Engine read</w:t>
            </w:r>
          </w:p>
        </w:tc>
        <w:tc>
          <w:tcPr/>
          <w:p>
            <w:pPr>
              <w:pStyle w:val="Compact"/>
            </w:pPr>
            <w:r>
              <w:t xml:space="preserve">UC:AI prerequisite (7.12) never bound any matrix column — no column code is a substring of</w:t>
            </w:r>
            <w:r>
              <w:t xml:space="preserve"> </w:t>
            </w:r>
            <w:r>
              <w:t xml:space="preserve">“UC:AI”</w:t>
            </w:r>
            <w:r>
              <w:t xml:space="preserve">; spec §7 says it gates</w:t>
            </w:r>
            <w:r>
              <w:t xml:space="preserve"> </w:t>
            </w:r>
            <w:r>
              <w:t xml:space="preserve">“all AI-enabled services”</w:t>
            </w:r>
            <w:r>
              <w:t xml:space="preserve"> </w:t>
            </w:r>
            <w:r>
              <w:t xml:space="preserve">without defining them</w:t>
            </w:r>
          </w:p>
        </w:tc>
        <w:tc>
          <w:tcPr/>
          <w:p>
            <w:pPr>
              <w:pStyle w:val="Compact"/>
            </w:pPr>
            <w:r>
              <w:t xml:space="preserve">Engine: UC:AI now binds AGI (loop-1 ruling); Katreyna to define</w:t>
            </w:r>
            <w:r>
              <w:t xml:space="preserve"> </w:t>
            </w:r>
            <w:r>
              <w:t xml:space="preserve">“AI-enabled services”</w:t>
            </w:r>
            <w:r>
              <w:t xml:space="preserve"> </w:t>
            </w:r>
            <w:r>
              <w:t xml:space="preserve">— added to spec §13 evidence</w:t>
            </w:r>
          </w:p>
        </w:tc>
        <w:tc>
          <w:tcPr/>
          <w:p>
            <w:pPr>
              <w:pStyle w:val="Compact"/>
            </w:pPr>
            <w:r>
              <w:t xml:space="preserve">FIXED (ruling); definition OPEN</w:t>
            </w:r>
          </w:p>
        </w:tc>
      </w:tr>
      <w:tr>
        <w:tc>
          <w:tcPr/>
          <w:p>
            <w:pPr>
              <w:pStyle w:val="Compact"/>
            </w:pPr>
            <w:r>
              <w:t xml:space="preserve">14</w:t>
            </w:r>
          </w:p>
        </w:tc>
        <w:tc>
          <w:tcPr/>
          <w:p>
            <w:pPr>
              <w:pStyle w:val="Compact"/>
            </w:pPr>
            <w:r>
              <w:t xml:space="preserve">D3</w:t>
            </w:r>
          </w:p>
        </w:tc>
        <w:tc>
          <w:tcPr/>
          <w:p>
            <w:pPr>
              <w:pStyle w:val="Compact"/>
            </w:pPr>
            <w:r>
              <w:t xml:space="preserve">Engine + clean slate</w:t>
            </w:r>
          </w:p>
        </w:tc>
        <w:tc>
          <w:tcPr/>
          <w:p>
            <w:pPr>
              <w:pStyle w:val="Compact"/>
            </w:pPr>
            <w:r>
              <w:t xml:space="preserve">Matrix</w:t>
            </w:r>
            <w:r>
              <w:t xml:space="preserve"> </w:t>
            </w:r>
            <w:r>
              <w:t xml:space="preserve">“Ready”</w:t>
            </w:r>
            <w:r>
              <w:t xml:space="preserve"> </w:t>
            </w:r>
            <w:r>
              <w:t xml:space="preserve">ignored universal prerequisites in Present (narrow) state — Nigeria showed ADV/SMF Ready with rural electricity at 23.5% (the</w:t>
            </w:r>
            <w:r>
              <w:t xml:space="preserve"> </w:t>
            </w:r>
            <w:r>
              <w:t xml:space="preserve">“Ready too lenient”</w:t>
            </w:r>
            <w:r>
              <w:t xml:space="preserve"> </w:t>
            </w:r>
            <w:r>
              <w:t xml:space="preserve">calibration finding, reproduced)</w:t>
            </w:r>
          </w:p>
        </w:tc>
        <w:tc>
          <w:tcPr/>
          <w:p>
            <w:pPr>
              <w:pStyle w:val="Compact"/>
            </w:pPr>
            <w:r>
              <w:t xml:space="preserve">Engine: universal narrow now caps every column at Partial (why=</w:t>
            </w:r>
            <w:r>
              <w:t xml:space="preserve">“universal narrow: id”</w:t>
            </w:r>
            <w:r>
              <w:t xml:space="preserve">); spec ratification pending</w:t>
            </w:r>
          </w:p>
        </w:tc>
        <w:tc>
          <w:tcPr/>
          <w:p>
            <w:pPr>
              <w:pStyle w:val="Compact"/>
            </w:pPr>
            <w:r>
              <w:t xml:space="preserve">FIXED (ruling)</w:t>
            </w:r>
          </w:p>
        </w:tc>
      </w:tr>
      <w:tr>
        <w:tc>
          <w:tcPr/>
          <w:p>
            <w:pPr>
              <w:pStyle w:val="Compact"/>
            </w:pPr>
            <w:r>
              <w:t xml:space="preserve">15</w:t>
            </w:r>
          </w:p>
        </w:tc>
        <w:tc>
          <w:tcPr/>
          <w:p>
            <w:pPr>
              <w:pStyle w:val="Compact"/>
            </w:pPr>
            <w:r>
              <w:t xml:space="preserve">D4</w:t>
            </w:r>
          </w:p>
        </w:tc>
        <w:tc>
          <w:tcPr/>
          <w:p>
            <w:pPr>
              <w:pStyle w:val="Compact"/>
            </w:pPr>
            <w:r>
              <w:t xml:space="preserve">Render attempt</w:t>
            </w:r>
          </w:p>
        </w:tc>
        <w:tc>
          <w:tcPr/>
          <w:p>
            <w:pPr>
              <w:pStyle w:val="Compact"/>
            </w:pPr>
            <w:r>
              <w:t xml:space="preserve">QC check A5 compared Counter dict to counts dict — fails whenever a class has zero rows (Egypt, 0 Judged). The QC machinery itself had a latent defect only exposed by a zero-Judged country</w:t>
            </w:r>
          </w:p>
        </w:tc>
        <w:tc>
          <w:tcPr/>
          <w:p>
            <w:pPr>
              <w:pStyle w:val="Compact"/>
            </w:pPr>
            <w:r>
              <w:t xml:space="preserve">A5 rewritten with per-class default-0 comparison</w:t>
            </w:r>
          </w:p>
        </w:tc>
        <w:tc>
          <w:tcPr/>
          <w:p>
            <w:pPr>
              <w:pStyle w:val="Compact"/>
            </w:pPr>
            <w:r>
              <w:t xml:space="preserve">FIXED</w:t>
            </w:r>
          </w:p>
        </w:tc>
      </w:tr>
      <w:tr>
        <w:tc>
          <w:tcPr/>
          <w:p>
            <w:pPr>
              <w:pStyle w:val="Compact"/>
            </w:pPr>
            <w:r>
              <w:t xml:space="preserve">16</w:t>
            </w:r>
          </w:p>
        </w:tc>
        <w:tc>
          <w:tcPr/>
          <w:p>
            <w:pPr>
              <w:pStyle w:val="Compact"/>
            </w:pPr>
            <w:r>
              <w:t xml:space="preserve">D5</w:t>
            </w:r>
          </w:p>
        </w:tc>
        <w:tc>
          <w:tcPr/>
          <w:p>
            <w:pPr>
              <w:pStyle w:val="Compact"/>
            </w:pPr>
            <w:r>
              <w:t xml:space="preserve">Egypt render</w:t>
            </w:r>
          </w:p>
        </w:tc>
        <w:tc>
          <w:tcPr/>
          <w:p>
            <w:pPr>
              <w:pStyle w:val="Compact"/>
            </w:pPr>
            <w:r>
              <w:t xml:space="preserve">Banner text hardcoded</w:t>
            </w:r>
            <w:r>
              <w:t xml:space="preserve"> </w:t>
            </w:r>
            <w:r>
              <w:t xml:space="preserve">“8 rest on judgment”</w:t>
            </w:r>
            <w:r>
              <w:t xml:space="preserve"> </w:t>
            </w:r>
            <w:r>
              <w:t xml:space="preserve">(Nigeria’s count) and kicker said v1.6</w:t>
            </w:r>
          </w:p>
        </w:tc>
        <w:tc>
          <w:tcPr/>
          <w:p>
            <w:pPr>
              <w:pStyle w:val="Compact"/>
            </w:pPr>
            <w:r>
              <w:t xml:space="preserve">Both data/config-driven now</w:t>
            </w:r>
          </w:p>
        </w:tc>
        <w:tc>
          <w:tcPr/>
          <w:p>
            <w:pPr>
              <w:pStyle w:val="Compact"/>
            </w:pPr>
            <w:r>
              <w:t xml:space="preserve">FIXED</w:t>
            </w:r>
          </w:p>
        </w:tc>
      </w:tr>
      <w:tr>
        <w:tc>
          <w:tcPr/>
          <w:p>
            <w:pPr>
              <w:pStyle w:val="Compact"/>
            </w:pPr>
            <w:r>
              <w:t xml:space="preserve">17</w:t>
            </w:r>
          </w:p>
        </w:tc>
        <w:tc>
          <w:tcPr/>
          <w:p>
            <w:pPr>
              <w:pStyle w:val="Compact"/>
            </w:pPr>
            <w:r>
              <w:t xml:space="preserve">D2</w:t>
            </w:r>
          </w:p>
        </w:tc>
        <w:tc>
          <w:tcPr/>
          <w:p>
            <w:pPr>
              <w:pStyle w:val="Compact"/>
            </w:pPr>
            <w:r>
              <w:t xml:space="preserve">EGY research</w:t>
            </w:r>
          </w:p>
        </w:tc>
        <w:tc>
          <w:tcPr/>
          <w:p>
            <w:pPr>
              <w:pStyle w:val="Compact"/>
            </w:pPr>
            <w:r>
              <w:t xml:space="preserve">Prior Egypt 3.11</w:t>
            </w:r>
            <w:r>
              <w:t xml:space="preserve"> </w:t>
            </w:r>
            <w:r>
              <w:t xml:space="preserve">“Present (narrow)”</w:t>
            </w:r>
            <w:r>
              <w:t xml:space="preserve"> </w:t>
            </w:r>
            <w:r>
              <w:t xml:space="preserve">REFUTED on clean slate — no published ag-data standards exist; the migrated reading rested on generic Digital-Egypt integration. Flips Egypt AGI to Blocked</w:t>
            </w:r>
          </w:p>
        </w:tc>
        <w:tc>
          <w:tcPr/>
          <w:p>
            <w:pPr>
              <w:pStyle w:val="Compact"/>
            </w:pPr>
            <w:r>
              <w:t xml:space="preserve">Recorded; migration leniency documented as evidence for the §13.3 prerequisite-mapping review</w:t>
            </w:r>
          </w:p>
        </w:tc>
        <w:tc>
          <w:tcPr/>
          <w:p>
            <w:pPr>
              <w:pStyle w:val="Compact"/>
            </w:pPr>
            <w:r>
              <w:t xml:space="preserve">RESOLVED (finding)</w:t>
            </w:r>
          </w:p>
        </w:tc>
      </w:tr>
      <w:tr>
        <w:tc>
          <w:tcPr/>
          <w:p>
            <w:pPr>
              <w:pStyle w:val="Compact"/>
            </w:pPr>
            <w:r>
              <w:t xml:space="preserve">18</w:t>
            </w:r>
          </w:p>
        </w:tc>
        <w:tc>
          <w:tcPr/>
          <w:p>
            <w:pPr>
              <w:pStyle w:val="Compact"/>
            </w:pPr>
            <w:r>
              <w:t xml:space="preserve">D2</w:t>
            </w:r>
          </w:p>
        </w:tc>
        <w:tc>
          <w:tcPr/>
          <w:p>
            <w:pPr>
              <w:pStyle w:val="Compact"/>
            </w:pPr>
            <w:r>
              <w:t xml:space="preserve">NGA research</w:t>
            </w:r>
          </w:p>
        </w:tc>
        <w:tc>
          <w:tcPr/>
          <w:p>
            <w:pPr>
              <w:pStyle w:val="Compact"/>
            </w:pPr>
            <w:r>
              <w:t xml:space="preserve">NGA 7.2 (AI solutions) only sourceable via specialist trade press (Space in Africa) — tier ruling needed on specialist analysts (T4 vs T5)</w:t>
            </w:r>
          </w:p>
        </w:tc>
        <w:tc>
          <w:tcPr/>
          <w:p>
            <w:pPr>
              <w:pStyle w:val="Compact"/>
            </w:pPr>
            <w:r>
              <w:t xml:space="preserve">G1: downgraded Documented→Judged pending ruling; added to §13.6 tier-lookup questions</w:t>
            </w:r>
          </w:p>
        </w:tc>
        <w:tc>
          <w:tcPr/>
          <w:p>
            <w:pPr>
              <w:pStyle w:val="Compact"/>
            </w:pPr>
            <w:r>
              <w:t xml:space="preserve">OPEN — decision item</w:t>
            </w:r>
          </w:p>
        </w:tc>
      </w:tr>
      <w:tr>
        <w:tc>
          <w:tcPr/>
          <w:p>
            <w:pPr>
              <w:pStyle w:val="Compact"/>
            </w:pPr>
            <w:r>
              <w:t xml:space="preserve">19</w:t>
            </w:r>
          </w:p>
        </w:tc>
        <w:tc>
          <w:tcPr/>
          <w:p>
            <w:pPr>
              <w:pStyle w:val="Compact"/>
            </w:pPr>
            <w:r>
              <w:t xml:space="preserve">D3</w:t>
            </w:r>
          </w:p>
        </w:tc>
        <w:tc>
          <w:tcPr/>
          <w:p>
            <w:pPr>
              <w:pStyle w:val="Compact"/>
            </w:pPr>
            <w:r>
              <w:t xml:space="preserve">Both countries</w:t>
            </w:r>
          </w:p>
        </w:tc>
        <w:tc>
          <w:tcPr/>
          <w:p>
            <w:pPr>
              <w:pStyle w:val="Compact"/>
            </w:pPr>
            <w:r>
              <w:t xml:space="preserve">~40 indicator-level definition ambiguities logged by agents (units, constructs, denominators — e.g. 8.6 pp vs relative gap; 2.7 household vs individual; 4.2 GCI 0–1 vs 0–100; A1-CAND-IRR denominator)</w:t>
            </w:r>
          </w:p>
        </w:tc>
        <w:tc>
          <w:tcPr/>
          <w:p>
            <w:pPr>
              <w:pStyle w:val="Compact"/>
            </w:pPr>
            <w:r>
              <w:t xml:space="preserve">Full inventory in g1_review_EGY.md / g1_review_NGA.md process logs; triage into census fixes vs spec notes at loop close</w:t>
            </w:r>
          </w:p>
        </w:tc>
        <w:tc>
          <w:tcPr/>
          <w:p>
            <w:pPr>
              <w:pStyle w:val="Compact"/>
            </w:pPr>
            <w:r>
              <w:t xml:space="preserve">OPEN — the loop’s core harvest</w:t>
            </w:r>
          </w:p>
        </w:tc>
      </w:tr>
      <w:tr>
        <w:tc>
          <w:tcPr/>
          <w:p>
            <w:pPr>
              <w:pStyle w:val="Compact"/>
            </w:pPr>
            <w:r>
              <w:t xml:space="preserve">20</w:t>
            </w:r>
          </w:p>
        </w:tc>
        <w:tc>
          <w:tcPr/>
          <w:p>
            <w:pPr>
              <w:pStyle w:val="Compact"/>
            </w:pPr>
            <w:r>
              <w:t xml:space="preserve">D1→closed</w:t>
            </w:r>
          </w:p>
        </w:tc>
        <w:tc>
          <w:tcPr/>
          <w:p>
            <w:pPr>
              <w:pStyle w:val="Compact"/>
            </w:pPr>
            <w:r>
              <w:t xml:space="preserve">NGA clean slate</w:t>
            </w:r>
          </w:p>
        </w:tc>
        <w:tc>
          <w:tcPr/>
          <w:p>
            <w:pPr>
              <w:pStyle w:val="Compact"/>
            </w:pPr>
            <w:r>
              <w:t xml:space="preserve">15 of the prior pass’s 21 Nigeria gaps closed from admissible sources (APHLIS, SDG 5.a.1, Findex 2025, GSMA rural coverage, NBS catalog…) — the</w:t>
            </w:r>
            <w:r>
              <w:t xml:space="preserve"> </w:t>
            </w:r>
            <w:r>
              <w:t xml:space="preserve">“Nigeria lacks data”</w:t>
            </w:r>
            <w:r>
              <w:t xml:space="preserve"> </w:t>
            </w:r>
            <w:r>
              <w:t xml:space="preserve">reading was substantially a search-depth artifact</w:t>
            </w:r>
          </w:p>
        </w:tc>
        <w:tc>
          <w:tcPr/>
          <w:p>
            <w:pPr>
              <w:pStyle w:val="Compact"/>
            </w:pPr>
            <w:r>
              <w:t xml:space="preserve">Values recorded with deep links; remaining 6 gaps carry full trails</w:t>
            </w:r>
          </w:p>
        </w:tc>
        <w:tc>
          <w:tcPr/>
          <w:p>
            <w:pPr>
              <w:pStyle w:val="Compact"/>
            </w:pPr>
            <w:r>
              <w:t xml:space="preserve">CLOSED</w:t>
            </w:r>
          </w:p>
        </w:tc>
      </w:tr>
      <w:tr>
        <w:tc>
          <w:tcPr/>
          <w:p>
            <w:pPr>
              <w:pStyle w:val="Compact"/>
            </w:pPr>
            <w:r>
              <w:t xml:space="preserve">21</w:t>
            </w:r>
          </w:p>
        </w:tc>
        <w:tc>
          <w:tcPr/>
          <w:p>
            <w:pPr>
              <w:pStyle w:val="Compact"/>
            </w:pPr>
            <w:r>
              <w:t xml:space="preserve">D5/D6</w:t>
            </w:r>
          </w:p>
        </w:tc>
        <w:tc>
          <w:tcPr/>
          <w:p>
            <w:pPr>
              <w:pStyle w:val="Compact"/>
            </w:pPr>
            <w:r>
              <w:t xml:space="preserve">Randeep review</w:t>
            </w:r>
          </w:p>
        </w:tc>
        <w:tc>
          <w:tcPr/>
          <w:p>
            <w:pPr>
              <w:pStyle w:val="Compact"/>
            </w:pPr>
            <w:r>
              <w:rPr>
                <w:b/>
                <w:bCs/>
              </w:rPr>
              <w:t xml:space="preserve">The report referenced its own process history</w:t>
            </w:r>
            <w:r>
              <w:t xml:space="preserve"> </w:t>
            </w:r>
            <w:r>
              <w:t xml:space="preserve">(</w:t>
            </w:r>
            <w:r>
              <w:t xml:space="preserve">“15 of the prior pass’s 21 gaps closed”</w:t>
            </w:r>
            <w:r>
              <w:t xml:space="preserve">,</w:t>
            </w:r>
            <w:r>
              <w:t xml:space="preserve"> </w:t>
            </w:r>
            <w:r>
              <w:t xml:space="preserve">“the migrated assessment showed zero gaps”</w:t>
            </w:r>
            <w:r>
              <w:t xml:space="preserve">, masthead</w:t>
            </w:r>
            <w:r>
              <w:t xml:space="preserve"> </w:t>
            </w:r>
            <w:r>
              <w:t xml:space="preserve">“clean-slate gauntlet pass, loop 1”</w:t>
            </w:r>
            <w:r>
              <w:t xml:space="preserve">). A diagnostic must be a complete document in itself — the counterpart never saw a prior pass, and in DAR Studio there is only ever one pass</w:t>
            </w:r>
          </w:p>
        </w:tc>
        <w:tc>
          <w:tcPr/>
          <w:p>
            <w:pPr>
              <w:pStyle w:val="Compact"/>
            </w:pPr>
            <w:r>
              <w:t xml:space="preserve">Narratives rewritten country-substantive; masthead neutral (</w:t>
            </w:r>
            <w:r>
              <w:t xml:space="preserve">“machine-assisted desk assessment”</w:t>
            </w:r>
            <w:r>
              <w:t xml:space="preserve">,</w:t>
            </w:r>
            <w:r>
              <w:t xml:space="preserve"> </w:t>
            </w:r>
            <w:r>
              <w:t xml:space="preserve">“Model: DAMM v1.7”</w:t>
            </w:r>
            <w:r>
              <w:t xml:space="preserve">);</w:t>
            </w:r>
            <w:r>
              <w:t xml:space="preserve"> </w:t>
            </w:r>
            <w:r>
              <w:rPr>
                <w:b/>
                <w:bCs/>
              </w:rPr>
              <w:t xml:space="preserve">generic</w:t>
            </w:r>
            <w:r>
              <w:rPr>
                <w:b/>
                <w:bCs/>
              </w:rPr>
              <w:t xml:space="preserve"> </w:t>
            </w:r>
            <w:r>
              <w:rPr>
                <w:rStyle w:val="VerbatimChar"/>
                <w:b/>
                <w:bCs/>
              </w:rPr>
              <w:t xml:space="preserve">clean()</w:t>
            </w:r>
            <w:r>
              <w:rPr>
                <w:b/>
                <w:bCs/>
              </w:rPr>
              <w:t xml:space="preserve"> </w:t>
            </w:r>
            <w:r>
              <w:rPr>
                <w:b/>
                <w:bCs/>
              </w:rPr>
              <w:t xml:space="preserve">sanitizer</w:t>
            </w:r>
            <w:r>
              <w:t xml:space="preserve"> </w:t>
            </w:r>
            <w:r>
              <w:t xml:space="preserve">in the renderer strips process history and internal §-references from ALL agent-authored text (register entries, notes) before it reaches the page — the structural fix, since agent text will always carry this risk; matching sanitizer in build_inputs for search trails; gap source string now</w:t>
            </w:r>
            <w:r>
              <w:t xml:space="preserve"> </w:t>
            </w:r>
            <w:r>
              <w:t xml:space="preserve">“Structured source search, 22 August 2026”</w:t>
            </w:r>
          </w:p>
        </w:tc>
        <w:tc>
          <w:tcPr/>
          <w:p>
            <w:pPr>
              <w:pStyle w:val="Compact"/>
            </w:pPr>
            <w:r>
              <w:t xml:space="preserve">FIXED</w:t>
            </w:r>
          </w:p>
        </w:tc>
      </w:tr>
      <w:tr>
        <w:tc>
          <w:tcPr/>
          <w:p>
            <w:pPr>
              <w:pStyle w:val="Compact"/>
            </w:pPr>
            <w:r>
              <w:t xml:space="preserve">22</w:t>
            </w:r>
          </w:p>
        </w:tc>
        <w:tc>
          <w:tcPr/>
          <w:p>
            <w:pPr>
              <w:pStyle w:val="Compact"/>
            </w:pPr>
            <w:r>
              <w:t xml:space="preserve">D4</w:t>
            </w:r>
          </w:p>
        </w:tc>
        <w:tc>
          <w:tcPr/>
          <w:p>
            <w:pPr>
              <w:pStyle w:val="Compact"/>
            </w:pPr>
            <w:r>
              <w:t xml:space="preserve">Same review</w:t>
            </w:r>
          </w:p>
        </w:tc>
        <w:tc>
          <w:tcPr/>
          <w:p>
            <w:pPr>
              <w:pStyle w:val="Compact"/>
            </w:pPr>
            <w:r>
              <w:rPr>
                <w:rStyle w:val="VerbatimChar"/>
                <w:b/>
                <w:bCs/>
              </w:rPr>
              <w:t xml:space="preserve">a1_tiles()</w:t>
            </w:r>
            <w:r>
              <w:rPr>
                <w:b/>
                <w:bCs/>
              </w:rPr>
              <w:t xml:space="preserve"> </w:t>
            </w:r>
            <w:r>
              <w:rPr>
                <w:b/>
                <w:bCs/>
              </w:rPr>
              <w:t xml:space="preserve">was entirely hardcoded</w:t>
            </w:r>
            <w:r>
              <w:t xml:space="preserve"> </w:t>
            </w:r>
            <w:r>
              <w:t xml:space="preserve">— fixed indicator ids and the literal claim</w:t>
            </w:r>
            <w:r>
              <w:t xml:space="preserve"> </w:t>
            </w:r>
            <w:r>
              <w:t xml:space="preserve">“Recorded gaps — 5 of 10 need metrics”</w:t>
            </w:r>
            <w:r>
              <w:t xml:space="preserve">. On Egypt this printed a</w:t>
            </w:r>
            <w:r>
              <w:t xml:space="preserve"> </w:t>
            </w:r>
            <w:r>
              <w:rPr>
                <w:b/>
                <w:bCs/>
              </w:rPr>
              <w:t xml:space="preserve">falsehood</w:t>
            </w:r>
            <w:r>
              <w:t xml:space="preserve"> </w:t>
            </w:r>
            <w:r>
              <w:t xml:space="preserve">(Egypt has zero A1 gaps). Three further Nigeria-era literals: the A1 pillar note (</w:t>
            </w:r>
            <w:r>
              <w:t xml:space="preserve">“Pillar mean 2.60… five value-backed rows”</w:t>
            </w:r>
            <w:r>
              <w:t xml:space="preserve">), the evidence-composition caption (</w:t>
            </w:r>
            <w:r>
              <w:t xml:space="preserve">“C2, C4 and O1 carry the weak-evidence rendering”</w:t>
            </w:r>
            <w:r>
              <w:t xml:space="preserve">), and a dead</w:t>
            </w:r>
            <w:r>
              <w:t xml:space="preserve"> </w:t>
            </w:r>
            <w:r>
              <w:rPr>
                <w:rStyle w:val="VerbatimChar"/>
              </w:rPr>
              <w:t xml:space="preserve">sentence</w:t>
            </w:r>
            <w:r>
              <w:t xml:space="preserve"> </w:t>
            </w:r>
            <w:r>
              <w:t xml:space="preserve">variable</w:t>
            </w:r>
          </w:p>
        </w:tc>
        <w:tc>
          <w:tcPr/>
          <w:p>
            <w:pPr>
              <w:pStyle w:val="Compact"/>
            </w:pPr>
            <w:r>
              <w:t xml:space="preserve">All rebuilt data-driven: tiles enumerate A1 rows by class, counts computed; A1 note reads the pillar; evidence caption computes the weak list (and states the negative case when none); hatched-bar caption conditional; dead variable removed</w:t>
            </w:r>
          </w:p>
        </w:tc>
        <w:tc>
          <w:tcPr/>
          <w:p>
            <w:pPr>
              <w:pStyle w:val="Compact"/>
            </w:pPr>
            <w:r>
              <w:t xml:space="preserve">FIXED</w:t>
            </w:r>
          </w:p>
        </w:tc>
      </w:tr>
      <w:tr>
        <w:tc>
          <w:tcPr/>
          <w:p>
            <w:pPr>
              <w:pStyle w:val="Compact"/>
            </w:pPr>
            <w:r>
              <w:t xml:space="preserve">23</w:t>
            </w:r>
          </w:p>
        </w:tc>
        <w:tc>
          <w:tcPr/>
          <w:p>
            <w:pPr>
              <w:pStyle w:val="Compact"/>
            </w:pPr>
            <w:r>
              <w:t xml:space="preserve">D5</w:t>
            </w:r>
          </w:p>
        </w:tc>
        <w:tc>
          <w:tcPr/>
          <w:p>
            <w:pPr>
              <w:pStyle w:val="Compact"/>
            </w:pPr>
            <w:r>
              <w:t xml:space="preserve">Same review</w:t>
            </w:r>
          </w:p>
        </w:tc>
        <w:tc>
          <w:tcPr/>
          <w:p>
            <w:pPr>
              <w:pStyle w:val="Compact"/>
            </w:pPr>
            <w:r>
              <w:t xml:space="preserve">Tile numbers rendered raw precision (employment</w:t>
            </w:r>
            <w:r>
              <w:t xml:space="preserve"> </w:t>
            </w:r>
            <w:r>
              <w:t xml:space="preserve">“17.5246”</w:t>
            </w:r>
            <w:r>
              <w:t xml:space="preserve">)</w:t>
            </w:r>
          </w:p>
        </w:tc>
        <w:tc>
          <w:tcPr/>
          <w:p>
            <w:pPr>
              <w:pStyle w:val="Compact"/>
            </w:pPr>
            <w:r>
              <w:t xml:space="preserve">Formatter: 1 dp at/above 10, 2 dp below, thousands separated</w:t>
            </w:r>
          </w:p>
        </w:tc>
        <w:tc>
          <w:tcPr/>
          <w:p>
            <w:pPr>
              <w:pStyle w:val="Compact"/>
            </w:pPr>
            <w:r>
              <w:t xml:space="preserve">FIXED</w:t>
            </w:r>
          </w:p>
        </w:tc>
      </w:tr>
      <w:tr>
        <w:tc>
          <w:tcPr/>
          <w:p>
            <w:pPr>
              <w:pStyle w:val="Compact"/>
            </w:pPr>
            <w:r>
              <w:t xml:space="preserve">24</w:t>
            </w:r>
          </w:p>
        </w:tc>
        <w:tc>
          <w:tcPr/>
          <w:p>
            <w:pPr>
              <w:pStyle w:val="Compact"/>
            </w:pPr>
            <w:r>
              <w:t xml:space="preserve">D-PROC</w:t>
            </w:r>
          </w:p>
        </w:tc>
        <w:tc>
          <w:tcPr/>
          <w:p>
            <w:pPr>
              <w:pStyle w:val="Compact"/>
            </w:pPr>
            <w:r>
              <w:t xml:space="preserve">Rebuild</w:t>
            </w:r>
          </w:p>
        </w:tc>
        <w:tc>
          <w:tcPr/>
          <w:p>
            <w:pPr>
              <w:pStyle w:val="Compact"/>
            </w:pPr>
            <w:r>
              <w:t xml:space="preserve">G2 corrections had been applied directly to generated files — a rebuild would have silently wiped them (pipeline not reproducible end-to-end)</w:t>
            </w:r>
          </w:p>
        </w:tc>
        <w:tc>
          <w:tcPr/>
          <w:p>
            <w:pPr>
              <w:pStyle w:val="Compact"/>
            </w:pPr>
            <w:r>
              <w:t xml:space="preserve">Corrections extracted to</w:t>
            </w:r>
            <w:r>
              <w:t xml:space="preserve"> </w:t>
            </w:r>
            <w:r>
              <w:rPr>
                <w:rStyle w:val="VerbatimChar"/>
              </w:rPr>
              <w:t xml:space="preserve">g2_corrections_{iso}.json</w:t>
            </w:r>
            <w:r>
              <w:t xml:space="preserve">, applied by build_inputs after G1 overrides; full chain re-run and verified identical</w:t>
            </w:r>
          </w:p>
        </w:tc>
        <w:tc>
          <w:tcPr/>
          <w:p>
            <w:pPr>
              <w:pStyle w:val="Compact"/>
            </w:pPr>
            <w:r>
              <w:t xml:space="preserve">FIXED</w:t>
            </w:r>
          </w:p>
        </w:tc>
      </w:tr>
      <w:tr>
        <w:tc>
          <w:tcPr/>
          <w:p>
            <w:pPr>
              <w:pStyle w:val="Compact"/>
            </w:pPr>
            <w:r>
              <w:t xml:space="preserve">25</w:t>
            </w:r>
          </w:p>
        </w:tc>
        <w:tc>
          <w:tcPr/>
          <w:p>
            <w:pPr>
              <w:pStyle w:val="Compact"/>
            </w:pPr>
            <w:r>
              <w:t xml:space="preserve">D5</w:t>
            </w:r>
          </w:p>
        </w:tc>
        <w:tc>
          <w:tcPr/>
          <w:p>
            <w:pPr>
              <w:pStyle w:val="Compact"/>
            </w:pPr>
            <w:r>
              <w:t xml:space="preserve">Same review</w:t>
            </w:r>
          </w:p>
        </w:tc>
        <w:tc>
          <w:tcPr/>
          <w:p>
            <w:pPr>
              <w:pStyle w:val="Compact"/>
            </w:pPr>
            <w:r>
              <w:t xml:space="preserve">Footer cited Nigeria’s filenames in the Egypt report, and versioned method filenames (DAMM-v1.6-*.md) inside a v1.7 report</w:t>
            </w:r>
          </w:p>
        </w:tc>
        <w:tc>
          <w:tcPr/>
          <w:p>
            <w:pPr>
              <w:pStyle w:val="Compact"/>
            </w:pPr>
            <w:r>
              <w:t xml:space="preserve">Provenance line now names the model and country generically; method companions referenced by name, not filename</w:t>
            </w:r>
          </w:p>
        </w:tc>
        <w:tc>
          <w:tcPr/>
          <w:p>
            <w:pPr>
              <w:pStyle w:val="Compact"/>
            </w:pPr>
            <w:r>
              <w:t xml:space="preserve">FIXED</w:t>
            </w:r>
          </w:p>
        </w:tc>
      </w:tr>
      <w:tr>
        <w:tc>
          <w:tcPr/>
          <w:p>
            <w:pPr>
              <w:pStyle w:val="Compact"/>
            </w:pPr>
            <w:r>
              <w:t xml:space="preserve">26</w:t>
            </w:r>
          </w:p>
        </w:tc>
        <w:tc>
          <w:tcPr/>
          <w:p>
            <w:pPr>
              <w:pStyle w:val="Compact"/>
            </w:pPr>
            <w:r>
              <w:t xml:space="preserve">D6</w:t>
            </w:r>
          </w:p>
        </w:tc>
        <w:tc>
          <w:tcPr/>
          <w:p>
            <w:pPr>
              <w:pStyle w:val="Compact"/>
            </w:pPr>
            <w:r>
              <w:t xml:space="preserve">Workbook parity</w:t>
            </w:r>
          </w:p>
        </w:tc>
        <w:tc>
          <w:tcPr/>
          <w:p>
            <w:pPr>
              <w:pStyle w:val="Compact"/>
            </w:pPr>
            <w:r>
              <w:rPr>
                <w:b/>
                <w:bCs/>
              </w:rPr>
              <w:t xml:space="preserve">The derived-class rule could not express source admissibility.</w:t>
            </w:r>
            <w:r>
              <w:t xml:space="preserve"> </w:t>
            </w:r>
            <w:r>
              <w:t xml:space="preserve">The class formula asked only</w:t>
            </w:r>
            <w:r>
              <w:t xml:space="preserve"> </w:t>
            </w:r>
            <w:r>
              <w:t xml:space="preserve">“is there a source?”</w:t>
            </w:r>
            <w:r>
              <w:t xml:space="preserve">, so a citation whose sole source is Tier 5 derived as</w:t>
            </w:r>
            <w:r>
              <w:t xml:space="preserve"> </w:t>
            </w:r>
            <w:r>
              <w:rPr>
                <w:i/>
                <w:iCs/>
              </w:rPr>
              <w:t xml:space="preserve">Documented</w:t>
            </w:r>
            <w:r>
              <w:t xml:space="preserve"> </w:t>
            </w:r>
            <w:r>
              <w:t xml:space="preserve">— while the protocol says T5 can never carry a scored value. The engine only agreed because G1 had forced the class by hand (NGA 7.2), which the workbook could not reproduce</w:t>
            </w:r>
          </w:p>
        </w:tc>
        <w:tc>
          <w:tcPr/>
          <w:p>
            <w:pPr>
              <w:pStyle w:val="Compact"/>
            </w:pPr>
            <w:r>
              <w:t xml:space="preserve">Rule made tier-aware in both places: a citation derives</w:t>
            </w:r>
            <w:r>
              <w:t xml:space="preserve"> </w:t>
            </w:r>
            <w:r>
              <w:rPr>
                <w:i/>
                <w:iCs/>
              </w:rPr>
              <w:t xml:space="preserve">Documented</w:t>
            </w:r>
            <w:r>
              <w:t xml:space="preserve"> </w:t>
            </w:r>
            <w:r>
              <w:t xml:space="preserve">only if its source is admissible (T1–T4); a T5-only citation derives</w:t>
            </w:r>
            <w:r>
              <w:t xml:space="preserve"> </w:t>
            </w:r>
            <w:r>
              <w:rPr>
                <w:i/>
                <w:iCs/>
              </w:rPr>
              <w:t xml:space="preserve">Judged</w:t>
            </w:r>
            <w:r>
              <w:t xml:space="preserve">. Forced class removed from the correction file — the rule now decides. Stated on the workbook’s Tiers sheet</w:t>
            </w:r>
          </w:p>
        </w:tc>
        <w:tc>
          <w:tcPr/>
          <w:p>
            <w:pPr>
              <w:pStyle w:val="Compact"/>
            </w:pPr>
            <w:r>
              <w:t xml:space="preserve">FIXED</w:t>
            </w:r>
          </w:p>
        </w:tc>
      </w:tr>
      <w:tr>
        <w:tc>
          <w:tcPr/>
          <w:p>
            <w:pPr>
              <w:pStyle w:val="Compact"/>
            </w:pPr>
            <w:r>
              <w:t xml:space="preserve">27</w:t>
            </w:r>
          </w:p>
        </w:tc>
        <w:tc>
          <w:tcPr/>
          <w:p>
            <w:pPr>
              <w:pStyle w:val="Compact"/>
            </w:pPr>
            <w:r>
              <w:t xml:space="preserve">D4</w:t>
            </w:r>
          </w:p>
        </w:tc>
        <w:tc>
          <w:tcPr/>
          <w:p>
            <w:pPr>
              <w:pStyle w:val="Compact"/>
            </w:pPr>
            <w:r>
              <w:t xml:space="preserve">Workbook parity</w:t>
            </w:r>
          </w:p>
        </w:tc>
        <w:tc>
          <w:tcPr/>
          <w:p>
            <w:pPr>
              <w:pStyle w:val="Compact"/>
            </w:pPr>
            <w:r>
              <w:rPr>
                <w:b/>
                <w:bCs/>
              </w:rPr>
              <w:t xml:space="preserve">Engine and workbook rounded differently at exact .xx5 boundaries</w:t>
            </w:r>
            <w:r>
              <w:t xml:space="preserve"> </w:t>
            </w:r>
            <w:r>
              <w:t xml:space="preserve">— Python’s banker’s rounding vs Excel’s half-up (Egypt FIN mean 3.125 → 3.12 vs 3.13). Consequential beyond display: a pillar mean landing on a band edge would band differently in the instrument and the report</w:t>
            </w:r>
          </w:p>
        </w:tc>
        <w:tc>
          <w:tcPr/>
          <w:p>
            <w:pPr>
              <w:pStyle w:val="Compact"/>
            </w:pPr>
            <w:r>
              <w:t xml:space="preserve">Engine now rounds half-up (</w:t>
            </w:r>
            <w:r>
              <w:rPr>
                <w:rStyle w:val="VerbatimChar"/>
              </w:rPr>
              <w:t xml:space="preserve">r2()</w:t>
            </w:r>
            <w:r>
              <w:t xml:space="preserve">) to match Excel, since the workbook is the declared source of truth. All four rounding sites changed</w:t>
            </w:r>
          </w:p>
        </w:tc>
        <w:tc>
          <w:tcPr/>
          <w:p>
            <w:pPr>
              <w:pStyle w:val="Compact"/>
            </w:pPr>
            <w:r>
              <w:t xml:space="preserve">FIXED</w:t>
            </w:r>
          </w:p>
        </w:tc>
      </w:tr>
      <w:tr>
        <w:tc>
          <w:tcPr/>
          <w:p>
            <w:pPr>
              <w:pStyle w:val="Compact"/>
            </w:pPr>
            <w:r>
              <w:t xml:space="preserve">28</w:t>
            </w:r>
          </w:p>
        </w:tc>
        <w:tc>
          <w:tcPr/>
          <w:p>
            <w:pPr>
              <w:pStyle w:val="Compact"/>
            </w:pPr>
            <w:r>
              <w:t xml:space="preserve">D5</w:t>
            </w:r>
          </w:p>
        </w:tc>
        <w:tc>
          <w:tcPr/>
          <w:p>
            <w:pPr>
              <w:pStyle w:val="Compact"/>
            </w:pPr>
            <w:r>
              <w:t xml:space="preserve">Workbook build</w:t>
            </w:r>
          </w:p>
        </w:tc>
        <w:tc>
          <w:tcPr/>
          <w:p>
            <w:pPr>
              <w:pStyle w:val="Compact"/>
            </w:pPr>
            <w:r>
              <w:t xml:space="preserve">Print layout unusable: 63 pages, merged Read Me text clipped at the page edge, and the Visuals charts fell outside the print area so a PDF reader saw the data table but no charts</w:t>
            </w:r>
          </w:p>
        </w:tc>
        <w:tc>
          <w:tcPr/>
          <w:p>
            <w:pPr>
              <w:pStyle w:val="Compact"/>
            </w:pPr>
            <w:r>
              <w:t xml:space="preserve">Page setup on every sheet (fit-to-width, landscape, print titles, print areas incl. chart anchors); helper flag columns hidden; gate rows given height. Egypt now 13 pages, Nigeria 11</w:t>
            </w:r>
          </w:p>
        </w:tc>
        <w:tc>
          <w:tcPr/>
          <w:p>
            <w:pPr>
              <w:pStyle w:val="Compact"/>
            </w:pPr>
            <w:r>
              <w:t xml:space="preserve">FIXED</w:t>
            </w:r>
          </w:p>
        </w:tc>
      </w:tr>
      <w:tr>
        <w:tc>
          <w:tcPr/>
          <w:p>
            <w:pPr>
              <w:pStyle w:val="Compact"/>
            </w:pPr>
            <w:r>
              <w:t xml:space="preserve">29</w:t>
            </w:r>
          </w:p>
        </w:tc>
        <w:tc>
          <w:tcPr/>
          <w:p>
            <w:pPr>
              <w:pStyle w:val="Compact"/>
            </w:pPr>
            <w:r>
              <w:t xml:space="preserve">D3</w:t>
            </w:r>
          </w:p>
        </w:tc>
        <w:tc>
          <w:tcPr/>
          <w:p>
            <w:pPr>
              <w:pStyle w:val="Compact"/>
            </w:pPr>
            <w:r>
              <w:t xml:space="preserve">Indicator audit (4 agents, 23 Aug)</w:t>
            </w:r>
          </w:p>
        </w:tc>
        <w:tc>
          <w:tcPr/>
          <w:p>
            <w:pPr>
              <w:pStyle w:val="Compact"/>
            </w:pPr>
            <w:r>
              <w:rPr>
                <w:b/>
                <w:bCs/>
              </w:rPr>
              <w:t xml:space="preserve">Six indicator rows assert a construct their evidence does not support</w:t>
            </w:r>
            <w:r>
              <w:t xml:space="preserve"> </w:t>
            </w:r>
            <w:r>
              <w:t xml:space="preserve">— 2.1, 3.5, 4.7, 5.3, 5.7, 8.5. The worst is</w:t>
            </w:r>
            <w:r>
              <w:t xml:space="preserve"> </w:t>
            </w:r>
            <w:r>
              <w:rPr>
                <w:b/>
                <w:bCs/>
              </w:rPr>
              <w:t xml:space="preserve">2.1</w:t>
            </w:r>
            <w:r>
              <w:t xml:space="preserve">, a UNIVERSAL prerequisite: Egypt records the ITU</w:t>
            </w:r>
            <w:r>
              <w:t xml:space="preserve"> </w:t>
            </w:r>
            <w:r>
              <w:rPr>
                <w:i/>
                <w:iCs/>
              </w:rPr>
              <w:t xml:space="preserve">national</w:t>
            </w:r>
            <w:r>
              <w:t xml:space="preserve"> </w:t>
            </w:r>
            <w:r>
              <w:t xml:space="preserve">at-least-3G figure (99.8%) against an indicator named</w:t>
            </w:r>
            <w:r>
              <w:t xml:space="preserve"> </w:t>
            </w:r>
            <w:r>
              <w:rPr>
                <w:i/>
                <w:iCs/>
              </w:rPr>
              <w:t xml:space="preserve">Rural</w:t>
            </w:r>
            <w:r>
              <w:t xml:space="preserve"> </w:t>
            </w:r>
            <w:r>
              <w:t xml:space="preserve">mobile broadband coverage, scored Measured L5, with the substitution disclosed only in a note the engine never reads. Egypt’s headline</w:t>
            </w:r>
            <w:r>
              <w:t xml:space="preserve"> </w:t>
            </w:r>
            <w:r>
              <w:t xml:space="preserve">“five of six columns Ready”</w:t>
            </w:r>
            <w:r>
              <w:t xml:space="preserve"> </w:t>
            </w:r>
            <w:r>
              <w:t xml:space="preserve">and its C1 Advanced band both rest on it. G2 had confirmed the row — it verified that the source states the number, but never asked whether that number answers the indicator</w:t>
            </w:r>
          </w:p>
        </w:tc>
        <w:tc>
          <w:tcPr/>
          <w:p>
            <w:pPr>
              <w:pStyle w:val="Compact"/>
            </w:pPr>
            <w:r>
              <w:t xml:space="preserve">Definition-note column proposed on the scoring sheet so a substitution is visible in a scored field, not a note; the rename/re-source/gap choice is a reviewer decision (spec §13.11).</w:t>
            </w:r>
            <w:r>
              <w:t xml:space="preserve"> </w:t>
            </w:r>
            <w:r>
              <w:rPr>
                <w:b/>
                <w:bCs/>
              </w:rPr>
              <w:t xml:space="preserve">QC Protocol gap recorded: the G2 lens must add</w:t>
            </w:r>
            <w:r>
              <w:rPr>
                <w:b/>
                <w:bCs/>
              </w:rPr>
              <w:t xml:space="preserve"> </w:t>
            </w:r>
            <w:r>
              <w:rPr>
                <w:b/>
                <w:bCs/>
              </w:rPr>
              <w:t xml:space="preserve">“does this evidence answer THIS indicator?”</w:t>
            </w:r>
            <w:r>
              <w:rPr>
                <w:b/>
                <w:bCs/>
              </w:rPr>
              <w:t xml:space="preserve"> </w:t>
            </w:r>
            <w:r>
              <w:rPr>
                <w:b/>
                <w:bCs/>
              </w:rPr>
              <w:t xml:space="preserve">to</w:t>
            </w:r>
            <w:r>
              <w:rPr>
                <w:b/>
                <w:bCs/>
              </w:rPr>
              <w:t xml:space="preserve"> </w:t>
            </w:r>
            <w:r>
              <w:rPr>
                <w:b/>
                <w:bCs/>
              </w:rPr>
              <w:t xml:space="preserve">“does the source say this number?”</w:t>
            </w:r>
          </w:p>
        </w:tc>
        <w:tc>
          <w:tcPr/>
          <w:p>
            <w:pPr>
              <w:pStyle w:val="Compact"/>
            </w:pPr>
            <w:r>
              <w:t xml:space="preserve">OPEN — decision + QC amendment</w:t>
            </w:r>
          </w:p>
        </w:tc>
      </w:tr>
      <w:tr>
        <w:tc>
          <w:tcPr/>
          <w:p>
            <w:pPr>
              <w:pStyle w:val="Compact"/>
            </w:pPr>
            <w:r>
              <w:t xml:space="preserve">30</w:t>
            </w:r>
          </w:p>
        </w:tc>
        <w:tc>
          <w:tcPr/>
          <w:p>
            <w:pPr>
              <w:pStyle w:val="Compact"/>
            </w:pPr>
            <w:r>
              <w:t xml:space="preserve">D4</w:t>
            </w:r>
          </w:p>
        </w:tc>
        <w:tc>
          <w:tcPr/>
          <w:p>
            <w:pPr>
              <w:pStyle w:val="Compact"/>
            </w:pPr>
            <w:r>
              <w:t xml:space="preserve">Same audit, verified by simulation</w:t>
            </w:r>
          </w:p>
        </w:tc>
        <w:tc>
          <w:tcPr/>
          <w:p>
            <w:pPr>
              <w:pStyle w:val="Compact"/>
            </w:pPr>
            <w:r>
              <w:rPr>
                <w:b/>
                <w:bCs/>
              </w:rPr>
              <w:t xml:space="preserve">An Unverified universal prerequisite passed silently.</w:t>
            </w:r>
            <w:r>
              <w:t xml:space="preserve"> </w:t>
            </w:r>
            <w:r>
              <w:t xml:space="preserve">The engine handled universal Absent (Blocked) and universal narrow (Partial, loop-1 fix) but not Unverified — so recoding Egypt’s 2.1 honestly as a gap left all five columns still reading</w:t>
            </w:r>
            <w:r>
              <w:t xml:space="preserve"> </w:t>
            </w:r>
            <w:r>
              <w:rPr>
                <w:i/>
                <w:iCs/>
              </w:rPr>
              <w:t xml:space="preserve">Ready</w:t>
            </w:r>
            <w:r>
              <w:t xml:space="preserve">. This directly contradicts spec §7:</w:t>
            </w:r>
            <w:r>
              <w:t xml:space="preserve"> </w:t>
            </w:r>
            <w:r>
              <w:t xml:space="preserve">“a prerequisite whose presence is unevidenced shows Unverified — it cannot silently pass or fail”</w:t>
            </w:r>
          </w:p>
        </w:tc>
        <w:tc>
          <w:tcPr/>
          <w:p>
            <w:pPr>
              <w:pStyle w:val="Compact"/>
            </w:pPr>
            <w:r>
              <w:t xml:space="preserve">Engine: a universal at Unverified now surfaces every column as Unverified, matching the treatment already given to use-case prerequisites. Neither country has an Unverified universal today, so</w:t>
            </w:r>
            <w:r>
              <w:t xml:space="preserve"> </w:t>
            </w:r>
            <w:r>
              <w:rPr>
                <w:b/>
                <w:bCs/>
              </w:rPr>
              <w:t xml:space="preserve">no shipped result changes</w:t>
            </w:r>
            <w:r>
              <w:t xml:space="preserve"> </w:t>
            </w:r>
            <w:r>
              <w:t xml:space="preserve">— the fix is latent protection</w:t>
            </w:r>
          </w:p>
        </w:tc>
        <w:tc>
          <w:tcPr/>
          <w:p>
            <w:pPr>
              <w:pStyle w:val="Compact"/>
            </w:pPr>
            <w:r>
              <w:t xml:space="preserve">FIXED</w:t>
            </w:r>
          </w:p>
        </w:tc>
      </w:tr>
      <w:tr>
        <w:tc>
          <w:tcPr/>
          <w:p>
            <w:pPr>
              <w:pStyle w:val="Compact"/>
            </w:pPr>
            <w:r>
              <w:t xml:space="preserve">31</w:t>
            </w:r>
          </w:p>
        </w:tc>
        <w:tc>
          <w:tcPr/>
          <w:p>
            <w:pPr>
              <w:pStyle w:val="Compact"/>
            </w:pPr>
            <w:r>
              <w:t xml:space="preserve">D3</w:t>
            </w:r>
          </w:p>
        </w:tc>
        <w:tc>
          <w:tcPr/>
          <w:p>
            <w:pPr>
              <w:pStyle w:val="Compact"/>
            </w:pPr>
            <w:r>
              <w:t xml:space="preserve">Same audit</w:t>
            </w:r>
          </w:p>
        </w:tc>
        <w:tc>
          <w:tcPr/>
          <w:p>
            <w:pPr>
              <w:pStyle w:val="Compact"/>
            </w:pPr>
            <w:r>
              <w:rPr>
                <w:b/>
                <w:bCs/>
              </w:rPr>
              <w:t xml:space="preserve">45 of 57 indicators carry at least one definitional issue</w:t>
            </w:r>
            <w:r>
              <w:t xml:space="preserve"> </w:t>
            </w:r>
            <w:r>
              <w:t xml:space="preserve">(6 assert-falsehood, 34 construct drift, 21 unit/denominator ambiguity), and</w:t>
            </w:r>
            <w:r>
              <w:t xml:space="preserve"> </w:t>
            </w:r>
            <w:r>
              <w:rPr>
                <w:b/>
                <w:bCs/>
              </w:rPr>
              <w:t xml:space="preserve">8 of the 12 prerequisites are among them</w:t>
            </w:r>
            <w:r>
              <w:t xml:space="preserve">. This is the precise, indicator-mapped version of what §13.11 estimated at</w:t>
            </w:r>
            <w:r>
              <w:t xml:space="preserve"> </w:t>
            </w:r>
            <w:r>
              <w:t xml:space="preserve">“roughly forty”</w:t>
            </w:r>
          </w:p>
        </w:tc>
        <w:tc>
          <w:tcPr/>
          <w:p>
            <w:pPr>
              <w:pStyle w:val="Compact"/>
            </w:pPr>
            <w:r>
              <w:t xml:space="preserve">Full map saved; to be attached row-by-row to the scoring sheet so each can be ruled in place rather than by cross-referencing a separate log</w:t>
            </w:r>
          </w:p>
        </w:tc>
        <w:tc>
          <w:tcPr/>
          <w:p>
            <w:pPr>
              <w:pStyle w:val="Compact"/>
            </w:pPr>
            <w:r>
              <w:t xml:space="preserve">OPEN — the review’s largest single item</w:t>
            </w:r>
          </w:p>
        </w:tc>
      </w:tr>
      <w:tr>
        <w:tc>
          <w:tcPr/>
          <w:p>
            <w:pPr>
              <w:pStyle w:val="Compact"/>
            </w:pPr>
            <w:r>
              <w:t xml:space="preserve">32</w:t>
            </w:r>
          </w:p>
        </w:tc>
        <w:tc>
          <w:tcPr/>
          <w:p>
            <w:pPr>
              <w:pStyle w:val="Compact"/>
            </w:pPr>
            <w:r>
              <w:t xml:space="preserve">D3</w:t>
            </w:r>
          </w:p>
        </w:tc>
        <w:tc>
          <w:tcPr/>
          <w:p>
            <w:pPr>
              <w:pStyle w:val="Compact"/>
            </w:pPr>
            <w:r>
              <w:t xml:space="preserve">Correction pass (23 Aug)</w:t>
            </w:r>
          </w:p>
        </w:tc>
        <w:tc>
          <w:tcPr/>
          <w:p>
            <w:pPr>
              <w:pStyle w:val="Compact"/>
            </w:pPr>
            <w:r>
              <w:rPr>
                <w:b/>
                <w:bCs/>
              </w:rPr>
              <w:t xml:space="preserve">Egypt 2.1 corrected.</w:t>
            </w:r>
            <w:r>
              <w:t xml:space="preserve"> </w:t>
            </w:r>
            <w:r>
              <w:t xml:space="preserve">The national ITU coverage figure recorded against a</w:t>
            </w:r>
            <w:r>
              <w:t xml:space="preserve"> </w:t>
            </w:r>
            <w:r>
              <w:rPr>
                <w:i/>
                <w:iCs/>
              </w:rPr>
              <w:t xml:space="preserve">rural</w:t>
            </w:r>
            <w:r>
              <w:t xml:space="preserve"> </w:t>
            </w:r>
            <w:r>
              <w:t xml:space="preserve">indicator was withdrawn and recorded as the gap it is (national figure retained as context). Egypt’s five columns move from Ready to Unverified — what the evidence supports</w:t>
            </w:r>
          </w:p>
        </w:tc>
        <w:tc>
          <w:tcPr/>
          <w:p>
            <w:pPr>
              <w:pStyle w:val="Compact"/>
            </w:pPr>
            <w:r>
              <w:t xml:space="preserve">Correction is a first-class input (</w:t>
            </w:r>
            <w:r>
              <w:rPr>
                <w:rStyle w:val="VerbatimChar"/>
              </w:rPr>
              <w:t xml:space="preserve">definition_corrections_egy.json</w:t>
            </w:r>
            <w:r>
              <w:t xml:space="preserve">), so it reproduces from source</w:t>
            </w:r>
          </w:p>
        </w:tc>
        <w:tc>
          <w:tcPr/>
          <w:p>
            <w:pPr>
              <w:pStyle w:val="Compact"/>
            </w:pPr>
            <w:r>
              <w:t xml:space="preserve">FIXED</w:t>
            </w:r>
          </w:p>
        </w:tc>
      </w:tr>
      <w:tr>
        <w:tc>
          <w:tcPr/>
          <w:p>
            <w:pPr>
              <w:pStyle w:val="Compact"/>
            </w:pPr>
            <w:r>
              <w:t xml:space="preserve">33</w:t>
            </w:r>
          </w:p>
        </w:tc>
        <w:tc>
          <w:tcPr/>
          <w:p>
            <w:pPr>
              <w:pStyle w:val="Compact"/>
            </w:pPr>
            <w:r>
              <w:t xml:space="preserve">D3</w:t>
            </w:r>
          </w:p>
        </w:tc>
        <w:tc>
          <w:tcPr/>
          <w:p>
            <w:pPr>
              <w:pStyle w:val="Compact"/>
            </w:pPr>
            <w:r>
              <w:t xml:space="preserve">Correction pass</w:t>
            </w:r>
          </w:p>
        </w:tc>
        <w:tc>
          <w:tcPr/>
          <w:p>
            <w:pPr>
              <w:pStyle w:val="Compact"/>
            </w:pPr>
            <w:r>
              <w:rPr>
                <w:b/>
                <w:bCs/>
              </w:rPr>
              <w:t xml:space="preserve">Six name-vs-evidence rows corrected</w:t>
            </w:r>
            <w:r>
              <w:t xml:space="preserve"> </w:t>
            </w:r>
            <w:r>
              <w:t xml:space="preserve">(2.1, 3.5, 4.7, 5.3, 5.7, 8.5). Where the level turned on the construct difference the level was withdrawn; evidence, source and tier retained. 4.7 additionally re-sourced so both countries use one ID4D series and denominator (EGY 98.8%, NGA 79.1%, adults 15+) — previously two different denominators sat in one instrument</w:t>
            </w:r>
          </w:p>
        </w:tc>
        <w:tc>
          <w:tcPr/>
          <w:p>
            <w:pPr>
              <w:pStyle w:val="Compact"/>
            </w:pPr>
            <w:r>
              <w:t xml:space="preserve">Corrections applied via input files; open question attached to each row</w:t>
            </w:r>
          </w:p>
        </w:tc>
        <w:tc>
          <w:tcPr/>
          <w:p>
            <w:pPr>
              <w:pStyle w:val="Compact"/>
            </w:pPr>
            <w:r>
              <w:t xml:space="preserve">FIXED</w:t>
            </w:r>
          </w:p>
        </w:tc>
      </w:tr>
      <w:tr>
        <w:tc>
          <w:tcPr/>
          <w:p>
            <w:pPr>
              <w:pStyle w:val="Compact"/>
            </w:pPr>
            <w:r>
              <w:t xml:space="preserve">34</w:t>
            </w:r>
          </w:p>
        </w:tc>
        <w:tc>
          <w:tcPr/>
          <w:p>
            <w:pPr>
              <w:pStyle w:val="Compact"/>
            </w:pPr>
            <w:r>
              <w:t xml:space="preserve">D4</w:t>
            </w:r>
          </w:p>
        </w:tc>
        <w:tc>
          <w:tcPr/>
          <w:p>
            <w:pPr>
              <w:pStyle w:val="Compact"/>
            </w:pPr>
            <w:r>
              <w:t xml:space="preserve">Correction pass</w:t>
            </w:r>
          </w:p>
        </w:tc>
        <w:tc>
          <w:tcPr/>
          <w:p>
            <w:pPr>
              <w:pStyle w:val="Compact"/>
            </w:pPr>
            <w:r>
              <w:rPr>
                <w:b/>
                <w:bCs/>
              </w:rPr>
              <w:t xml:space="preserve">Unrated prerequisite fell through to</w:t>
            </w:r>
            <w:r>
              <w:rPr>
                <w:b/>
                <w:bCs/>
              </w:rPr>
              <w:t xml:space="preserve"> </w:t>
            </w:r>
            <w:r>
              <w:rPr>
                <w:rStyle w:val="VerbatimChar"/>
                <w:b/>
                <w:bCs/>
              </w:rPr>
              <w:t xml:space="preserve">Absent</w:t>
            </w:r>
            <w:r>
              <w:rPr>
                <w:b/>
                <w:bCs/>
              </w:rPr>
              <w:t xml:space="preserve"> </w:t>
            </w:r>
            <w:r>
              <w:rPr>
                <w:b/>
                <w:bCs/>
              </w:rPr>
              <w:t xml:space="preserve">in the engine</w:t>
            </w:r>
            <w:r>
              <w:t xml:space="preserve">, asserting absence where nothing was asserted. The workbook formula was already correct — a parity divergence only exposed once a level was deliberately withheld</w:t>
            </w:r>
          </w:p>
        </w:tc>
        <w:tc>
          <w:tcPr/>
          <w:p>
            <w:pPr>
              <w:pStyle w:val="Compact"/>
            </w:pPr>
            <w:r>
              <w:t xml:space="preserve">Engine aligned to workbook and spec §7: no level →</w:t>
            </w:r>
            <w:r>
              <w:t xml:space="preserve"> </w:t>
            </w:r>
            <w:r>
              <w:rPr>
                <w:rStyle w:val="VerbatimChar"/>
              </w:rPr>
              <w:t xml:space="preserve">Unverified</w:t>
            </w:r>
          </w:p>
        </w:tc>
        <w:tc>
          <w:tcPr/>
          <w:p>
            <w:pPr>
              <w:pStyle w:val="Compact"/>
            </w:pPr>
            <w:r>
              <w:t xml:space="preserve">FIXED</w:t>
            </w:r>
          </w:p>
        </w:tc>
      </w:tr>
      <w:tr>
        <w:tc>
          <w:tcPr/>
          <w:p>
            <w:pPr>
              <w:pStyle w:val="Compact"/>
            </w:pPr>
            <w:r>
              <w:t xml:space="preserve">35</w:t>
            </w:r>
          </w:p>
        </w:tc>
        <w:tc>
          <w:tcPr/>
          <w:p>
            <w:pPr>
              <w:pStyle w:val="Compact"/>
            </w:pPr>
            <w:r>
              <w:t xml:space="preserve">D4</w:t>
            </w:r>
          </w:p>
        </w:tc>
        <w:tc>
          <w:tcPr/>
          <w:p>
            <w:pPr>
              <w:pStyle w:val="Compact"/>
            </w:pPr>
            <w:r>
              <w:t xml:space="preserve">Correction pass</w:t>
            </w:r>
          </w:p>
        </w:tc>
        <w:tc>
          <w:tcPr/>
          <w:p>
            <w:pPr>
              <w:pStyle w:val="Compact"/>
            </w:pPr>
            <w:r>
              <w:t xml:space="preserve">The</w:t>
            </w:r>
            <w:r>
              <w:t xml:space="preserve"> </w:t>
            </w:r>
            <w:r>
              <w:rPr>
                <w:b/>
                <w:bCs/>
              </w:rPr>
              <w:t xml:space="preserve">workbook could not express</w:t>
            </w:r>
            <w:r>
              <w:rPr>
                <w:b/>
                <w:bCs/>
              </w:rPr>
              <w:t xml:space="preserve"> </w:t>
            </w:r>
            <w:r>
              <w:rPr>
                <w:b/>
                <w:bCs/>
              </w:rPr>
              <w:t xml:space="preserve">“measured but deliberately unrated”</w:t>
            </w:r>
            <w:r>
              <w:t xml:space="preserve"> </w:t>
            </w:r>
            <w:r>
              <w:t xml:space="preserve">— its threshold formula always scores a number, so withheld levels reappeared</w:t>
            </w:r>
          </w:p>
        </w:tc>
        <w:tc>
          <w:tcPr/>
          <w:p>
            <w:pPr>
              <w:pStyle w:val="Compact"/>
            </w:pPr>
            <w:r>
              <w:t xml:space="preserve">New</w:t>
            </w:r>
            <w:r>
              <w:t xml:space="preserve"> </w:t>
            </w:r>
            <w:r>
              <w:rPr>
                <w:b/>
                <w:bCs/>
              </w:rPr>
              <w:t xml:space="preserve">Ratification hold</w:t>
            </w:r>
            <w:r>
              <w:t xml:space="preserve"> </w:t>
            </w:r>
            <w:r>
              <w:t xml:space="preserve">column; the level formula honours it. Holds recorded on 5 Egypt / 7 Nigeria rows</w:t>
            </w:r>
          </w:p>
        </w:tc>
        <w:tc>
          <w:tcPr/>
          <w:p>
            <w:pPr>
              <w:pStyle w:val="Compact"/>
            </w:pPr>
            <w:r>
              <w:t xml:space="preserve">FIXED</w:t>
            </w:r>
          </w:p>
        </w:tc>
      </w:tr>
      <w:tr>
        <w:tc>
          <w:tcPr/>
          <w:p>
            <w:pPr>
              <w:pStyle w:val="Compact"/>
            </w:pPr>
            <w:r>
              <w:t xml:space="preserve">36</w:t>
            </w:r>
          </w:p>
        </w:tc>
        <w:tc>
          <w:tcPr/>
          <w:p>
            <w:pPr>
              <w:pStyle w:val="Compact"/>
            </w:pPr>
            <w:r>
              <w:t xml:space="preserve">D4</w:t>
            </w:r>
          </w:p>
        </w:tc>
        <w:tc>
          <w:tcPr/>
          <w:p>
            <w:pPr>
              <w:pStyle w:val="Compact"/>
            </w:pPr>
            <w:r>
              <w:t xml:space="preserve">Correction pass</w:t>
            </w:r>
          </w:p>
        </w:tc>
        <w:tc>
          <w:tcPr/>
          <w:p>
            <w:pPr>
              <w:pStyle w:val="Compact"/>
            </w:pPr>
            <w:r>
              <w:t xml:space="preserve">The workbook matrix did not implement the</w:t>
            </w:r>
            <w:r>
              <w:t xml:space="preserve"> </w:t>
            </w:r>
            <w:r>
              <w:rPr>
                <w:b/>
                <w:bCs/>
              </w:rPr>
              <w:t xml:space="preserve">universal-Unverified</w:t>
            </w:r>
            <w:r>
              <w:t xml:space="preserve"> </w:t>
            </w:r>
            <w:r>
              <w:t xml:space="preserve">rule the engine had gained, and the candidate rows collided with the dashboard block</w:t>
            </w:r>
          </w:p>
        </w:tc>
        <w:tc>
          <w:tcPr/>
          <w:p>
            <w:pPr>
              <w:pStyle w:val="Compact"/>
            </w:pPr>
            <w:r>
              <w:t xml:space="preserve">Both fixed; parity restored to 512/512</w:t>
            </w:r>
          </w:p>
        </w:tc>
        <w:tc>
          <w:tcPr/>
          <w:p>
            <w:pPr>
              <w:pStyle w:val="Compact"/>
            </w:pPr>
            <w:r>
              <w:t xml:space="preserve">FIXED</w:t>
            </w:r>
          </w:p>
        </w:tc>
      </w:tr>
      <w:tr>
        <w:tc>
          <w:tcPr/>
          <w:p>
            <w:pPr>
              <w:pStyle w:val="Compact"/>
            </w:pPr>
            <w:r>
              <w:t xml:space="preserve">37</w:t>
            </w:r>
          </w:p>
        </w:tc>
        <w:tc>
          <w:tcPr/>
          <w:p>
            <w:pPr>
              <w:pStyle w:val="Compact"/>
            </w:pPr>
            <w:r>
              <w:t xml:space="preserve">D5</w:t>
            </w:r>
          </w:p>
        </w:tc>
        <w:tc>
          <w:tcPr/>
          <w:p>
            <w:pPr>
              <w:pStyle w:val="Compact"/>
            </w:pPr>
            <w:r>
              <w:t xml:space="preserve">Correction pass</w:t>
            </w:r>
          </w:p>
        </w:tc>
        <w:tc>
          <w:tcPr/>
          <w:p>
            <w:pPr>
              <w:pStyle w:val="Compact"/>
            </w:pPr>
            <w:r>
              <w:t xml:space="preserve">The executive tile counted only Ready/Partial/Blocked, so Egypt’s five</w:t>
            </w:r>
            <w:r>
              <w:t xml:space="preserve"> </w:t>
            </w:r>
            <w:r>
              <w:rPr>
                <w:b/>
                <w:bCs/>
              </w:rPr>
              <w:t xml:space="preserve">Unverified</w:t>
            </w:r>
            <w:r>
              <w:t xml:space="preserve"> </w:t>
            </w:r>
            <w:r>
              <w:t xml:space="preserve">columns were invisible in the summary</w:t>
            </w:r>
          </w:p>
        </w:tc>
        <w:tc>
          <w:tcPr/>
          <w:p>
            <w:pPr>
              <w:pStyle w:val="Compact"/>
            </w:pPr>
            <w:r>
              <w:t xml:space="preserve">Tile reports all four states with the reason named</w:t>
            </w:r>
          </w:p>
        </w:tc>
        <w:tc>
          <w:tcPr/>
          <w:p>
            <w:pPr>
              <w:pStyle w:val="Compact"/>
            </w:pPr>
            <w:r>
              <w:t xml:space="preserve">FIXED</w:t>
            </w:r>
          </w:p>
        </w:tc>
      </w:tr>
      <w:tr>
        <w:tc>
          <w:tcPr/>
          <w:p>
            <w:pPr>
              <w:pStyle w:val="Compact"/>
            </w:pPr>
            <w:r>
              <w:t xml:space="preserve">38</w:t>
            </w:r>
          </w:p>
        </w:tc>
        <w:tc>
          <w:tcPr/>
          <w:p>
            <w:pPr>
              <w:pStyle w:val="Compact"/>
            </w:pPr>
            <w:r>
              <w:t xml:space="preserve">D-PROC</w:t>
            </w:r>
          </w:p>
        </w:tc>
        <w:tc>
          <w:tcPr/>
          <w:p>
            <w:pPr>
              <w:pStyle w:val="Compact"/>
            </w:pPr>
            <w:r>
              <w:t xml:space="preserve">Correction pass</w:t>
            </w:r>
          </w:p>
        </w:tc>
        <w:tc>
          <w:tcPr/>
          <w:p>
            <w:pPr>
              <w:pStyle w:val="Compact"/>
            </w:pPr>
            <w:r>
              <w:rPr>
                <w:b/>
                <w:bCs/>
              </w:rPr>
              <w:t xml:space="preserve">44 of 57 indicators carry an open definitional question</w:t>
            </w:r>
            <w:r>
              <w:t xml:space="preserve"> </w:t>
            </w:r>
            <w:r>
              <w:t xml:space="preserve">(a 45th sits on the irrigation candidate row) and they lived in a separate log, requiring cross-reference to rule on</w:t>
            </w:r>
          </w:p>
        </w:tc>
        <w:tc>
          <w:tcPr/>
          <w:p>
            <w:pPr>
              <w:pStyle w:val="Compact"/>
            </w:pPr>
            <w:r>
              <w:t xml:space="preserve">Attached row-by-row to the scoring sheet in an</w:t>
            </w:r>
            <w:r>
              <w:t xml:space="preserve"> </w:t>
            </w:r>
            <w:r>
              <w:rPr>
                <w:i/>
                <w:iCs/>
              </w:rPr>
              <w:t xml:space="preserve">Open definition question</w:t>
            </w:r>
            <w:r>
              <w:t xml:space="preserve"> </w:t>
            </w:r>
            <w:r>
              <w:t xml:space="preserve">column, so each is rulable in place</w:t>
            </w:r>
          </w:p>
        </w:tc>
        <w:tc>
          <w:tcPr/>
          <w:p>
            <w:pPr>
              <w:pStyle w:val="Compact"/>
            </w:pPr>
            <w:r>
              <w:t xml:space="preserve">FIXED</w:t>
            </w:r>
          </w:p>
        </w:tc>
      </w:tr>
      <w:tr>
        <w:tc>
          <w:tcPr/>
          <w:p>
            <w:pPr>
              <w:pStyle w:val="Compact"/>
            </w:pPr>
            <w:r>
              <w:t xml:space="preserve">39</w:t>
            </w:r>
          </w:p>
        </w:tc>
        <w:tc>
          <w:tcPr/>
          <w:p>
            <w:pPr>
              <w:pStyle w:val="Compact"/>
            </w:pPr>
            <w:r>
              <w:t xml:space="preserve">D3</w:t>
            </w:r>
          </w:p>
        </w:tc>
        <w:tc>
          <w:tcPr/>
          <w:p>
            <w:pPr>
              <w:pStyle w:val="Compact"/>
            </w:pPr>
            <w:r>
              <w:t xml:space="preserve">External design review</w:t>
            </w:r>
          </w:p>
        </w:tc>
        <w:tc>
          <w:tcPr/>
          <w:p>
            <w:pPr>
              <w:pStyle w:val="Compact"/>
            </w:pPr>
            <w:r>
              <w:rPr>
                <w:b/>
                <w:bCs/>
              </w:rPr>
              <w:t xml:space="preserve">A pillar mean was published against the pillar’s full indicator count while averaging only its rated rows.</w:t>
            </w:r>
            <w:r>
              <w:t xml:space="preserve"> </w:t>
            </w:r>
            <w:r>
              <w:t xml:space="preserve">Rows on ratification hold kept their evidence class in the composition figures but produced no level, so Egypt C4 read 3.33 over an apparent seven rows when three produced it; Nigeria O1 read 3.25 on four of seven</w:t>
            </w:r>
          </w:p>
        </w:tc>
        <w:tc>
          <w:tcPr/>
          <w:p>
            <w:pPr>
              <w:pStyle w:val="Compact"/>
            </w:pPr>
            <w:r>
              <w:t xml:space="preserve">Engine, workbook and report publish</w:t>
            </w:r>
            <w:r>
              <w:t xml:space="preserve"> </w:t>
            </w:r>
            <w:r>
              <w:rPr>
                <w:b/>
                <w:bCs/>
              </w:rPr>
              <w:t xml:space="preserve">Rated</w:t>
            </w:r>
            <w:r>
              <w:t xml:space="preserve"> </w:t>
            </w:r>
            <w:r>
              <w:t xml:space="preserve">and</w:t>
            </w:r>
            <w:r>
              <w:t xml:space="preserve"> </w:t>
            </w:r>
            <w:r>
              <w:rPr>
                <w:b/>
                <w:bCs/>
              </w:rPr>
              <w:t xml:space="preserve">Held</w:t>
            </w:r>
            <w:r>
              <w:t xml:space="preserve"> </w:t>
            </w:r>
            <w:r>
              <w:t xml:space="preserve">beside</w:t>
            </w:r>
            <w:r>
              <w:t xml:space="preserve"> </w:t>
            </w:r>
            <w:r>
              <w:rPr>
                <w:rStyle w:val="VerbatimChar"/>
              </w:rPr>
              <w:t xml:space="preserve">n</w:t>
            </w:r>
            <w:r>
              <w:t xml:space="preserve">; the rated count travels with every mean; verifier asserts</w:t>
            </w:r>
            <w:r>
              <w:t xml:space="preserve"> </w:t>
            </w:r>
            <w:r>
              <w:rPr>
                <w:rStyle w:val="VerbatimChar"/>
              </w:rPr>
              <w:t xml:space="preserve">rated = n − gaps − held</w:t>
            </w:r>
          </w:p>
        </w:tc>
        <w:tc>
          <w:tcPr/>
          <w:p>
            <w:pPr>
              <w:pStyle w:val="Compact"/>
            </w:pPr>
            <w:r>
              <w:t xml:space="preserve">FIXED</w:t>
            </w:r>
          </w:p>
        </w:tc>
      </w:tr>
      <w:tr>
        <w:tc>
          <w:tcPr/>
          <w:p>
            <w:pPr>
              <w:pStyle w:val="Compact"/>
            </w:pPr>
            <w:r>
              <w:t xml:space="preserve">40</w:t>
            </w:r>
          </w:p>
        </w:tc>
        <w:tc>
          <w:tcPr/>
          <w:p>
            <w:pPr>
              <w:pStyle w:val="Compact"/>
            </w:pPr>
            <w:r>
              <w:t xml:space="preserve">D3</w:t>
            </w:r>
          </w:p>
        </w:tc>
        <w:tc>
          <w:tcPr/>
          <w:p>
            <w:pPr>
              <w:pStyle w:val="Compact"/>
            </w:pPr>
            <w:r>
              <w:t xml:space="preserve">External design review</w:t>
            </w:r>
          </w:p>
        </w:tc>
        <w:tc>
          <w:tcPr/>
          <w:p>
            <w:pPr>
              <w:pStyle w:val="Compact"/>
            </w:pPr>
            <w:r>
              <w:rPr>
                <w:b/>
                <w:bCs/>
              </w:rPr>
              <w:t xml:space="preserve">The weak-evidence flag could not fire on a pillar hollowed out by holds</w:t>
            </w:r>
            <w:r>
              <w:t xml:space="preserve"> </w:t>
            </w:r>
            <w:r>
              <w:t xml:space="preserve">— it weighed judged and gap rows against measured and documented ones, and a held row counted on the strong side</w:t>
            </w:r>
          </w:p>
        </w:tc>
        <w:tc>
          <w:tcPr/>
          <w:p>
            <w:pPr>
              <w:pStyle w:val="Compact"/>
            </w:pPr>
            <w:r>
              <w:t xml:space="preserve">Recut in engine and workbook alike: judged, gap</w:t>
            </w:r>
            <w:r>
              <w:t xml:space="preserve"> </w:t>
            </w:r>
            <w:r>
              <w:rPr>
                <w:i/>
                <w:iCs/>
              </w:rPr>
              <w:t xml:space="preserve">and</w:t>
            </w:r>
            <w:r>
              <w:t xml:space="preserve"> </w:t>
            </w:r>
            <w:r>
              <w:t xml:space="preserve">held against the levelled measured and documented. Egypt C4 now renders parenthesized</w:t>
            </w:r>
          </w:p>
        </w:tc>
        <w:tc>
          <w:tcPr/>
          <w:p>
            <w:pPr>
              <w:pStyle w:val="Compact"/>
            </w:pPr>
            <w:r>
              <w:t xml:space="preserve">FIXED</w:t>
            </w:r>
          </w:p>
        </w:tc>
      </w:tr>
      <w:tr>
        <w:tc>
          <w:tcPr/>
          <w:p>
            <w:pPr>
              <w:pStyle w:val="Compact"/>
            </w:pPr>
            <w:r>
              <w:t xml:space="preserve">41</w:t>
            </w:r>
          </w:p>
        </w:tc>
        <w:tc>
          <w:tcPr/>
          <w:p>
            <w:pPr>
              <w:pStyle w:val="Compact"/>
            </w:pPr>
            <w:r>
              <w:t xml:space="preserve">D5</w:t>
            </w:r>
          </w:p>
        </w:tc>
        <w:tc>
          <w:tcPr/>
          <w:p>
            <w:pPr>
              <w:pStyle w:val="Compact"/>
            </w:pPr>
            <w:r>
              <w:t xml:space="preserve">External design review</w:t>
            </w:r>
          </w:p>
        </w:tc>
        <w:tc>
          <w:tcPr/>
          <w:p>
            <w:pPr>
              <w:pStyle w:val="Compact"/>
            </w:pPr>
            <w:r>
              <w:rPr>
                <w:b/>
                <w:bCs/>
              </w:rPr>
              <w:t xml:space="preserve">The PDF cropped the two rightmost columns off the initiative register</w:t>
            </w:r>
            <w:r>
              <w:t xml:space="preserve"> </w:t>
            </w:r>
            <w:r>
              <w:t xml:space="preserve">— Overlaps and Source, the register’s whole provenance — because an on-screen horizontal scroll has nothing to scroll into on paper; the caption beneath still promised a deep link per entry</w:t>
            </w:r>
          </w:p>
        </w:tc>
        <w:tc>
          <w:tcPr/>
          <w:p>
            <w:pPr>
              <w:pStyle w:val="Compact"/>
            </w:pPr>
            <w:r>
              <w:t xml:space="preserve">Print stylesheet lays wide tables to the page and wraps rather than overflows;</w:t>
            </w:r>
            <w:r>
              <w:t xml:space="preserve"> </w:t>
            </w:r>
            <w:r>
              <w:rPr>
                <w:rStyle w:val="VerbatimChar"/>
              </w:rPr>
              <w:t xml:space="preserve">build_package.sh</w:t>
            </w:r>
            <w:r>
              <w:t xml:space="preserve"> </w:t>
            </w:r>
            <w:r>
              <w:t xml:space="preserve">now fails the build if any HTML column is missing from the PDF text</w:t>
            </w:r>
          </w:p>
        </w:tc>
        <w:tc>
          <w:tcPr/>
          <w:p>
            <w:pPr>
              <w:pStyle w:val="Compact"/>
            </w:pPr>
            <w:r>
              <w:t xml:space="preserve">FIXED — regression-checked</w:t>
            </w:r>
          </w:p>
        </w:tc>
      </w:tr>
      <w:tr>
        <w:tc>
          <w:tcPr/>
          <w:p>
            <w:pPr>
              <w:pStyle w:val="Compact"/>
            </w:pPr>
            <w:r>
              <w:t xml:space="preserve">42</w:t>
            </w:r>
          </w:p>
        </w:tc>
        <w:tc>
          <w:tcPr/>
          <w:p>
            <w:pPr>
              <w:pStyle w:val="Compact"/>
            </w:pPr>
            <w:r>
              <w:t xml:space="preserve">D4</w:t>
            </w:r>
          </w:p>
        </w:tc>
        <w:tc>
          <w:tcPr/>
          <w:p>
            <w:pPr>
              <w:pStyle w:val="Compact"/>
            </w:pPr>
            <w:r>
              <w:t xml:space="preserve">External design review</w:t>
            </w:r>
          </w:p>
        </w:tc>
        <w:tc>
          <w:tcPr/>
          <w:p>
            <w:pPr>
              <w:pStyle w:val="Compact"/>
            </w:pPr>
            <w:r>
              <w:rPr>
                <w:b/>
                <w:bCs/>
              </w:rPr>
              <w:t xml:space="preserve">Verify-first listed a Judged row only when it was a prerequisite</w:t>
            </w:r>
            <w:r>
              <w:t xml:space="preserve">, so the list came out shorter than its own caption promised — Nigeria showed 4 where 5 qualified</w:t>
            </w:r>
          </w:p>
        </w:tc>
        <w:tc>
          <w:tcPr/>
          <w:p>
            <w:pPr>
              <w:pStyle w:val="Compact"/>
            </w:pPr>
            <w:r>
              <w:t xml:space="preserve">Every Judged row and every recorded gap is listed; verifier asserts the count against the class totals</w:t>
            </w:r>
          </w:p>
        </w:tc>
        <w:tc>
          <w:tcPr/>
          <w:p>
            <w:pPr>
              <w:pStyle w:val="Compact"/>
            </w:pPr>
            <w:r>
              <w:t xml:space="preserve">FIXED</w:t>
            </w:r>
          </w:p>
        </w:tc>
      </w:tr>
      <w:tr>
        <w:tc>
          <w:tcPr/>
          <w:p>
            <w:pPr>
              <w:pStyle w:val="Compact"/>
            </w:pPr>
            <w:r>
              <w:t xml:space="preserve">43</w:t>
            </w:r>
          </w:p>
        </w:tc>
        <w:tc>
          <w:tcPr/>
          <w:p>
            <w:pPr>
              <w:pStyle w:val="Compact"/>
            </w:pPr>
            <w:r>
              <w:t xml:space="preserve">D6</w:t>
            </w:r>
          </w:p>
        </w:tc>
        <w:tc>
          <w:tcPr/>
          <w:p>
            <w:pPr>
              <w:pStyle w:val="Compact"/>
            </w:pPr>
            <w:r>
              <w:t xml:space="preserve">External design review</w:t>
            </w:r>
          </w:p>
        </w:tc>
        <w:tc>
          <w:tcPr/>
          <w:p>
            <w:pPr>
              <w:pStyle w:val="Compact"/>
            </w:pPr>
            <w:r>
              <w:rPr>
                <w:b/>
                <w:bCs/>
              </w:rPr>
              <w:t xml:space="preserve">Use-case readiness means average need and outcome indicators together with enabling ones.</w:t>
            </w:r>
            <w:r>
              <w:t xml:space="preserve"> </w:t>
            </w:r>
            <w:r>
              <w:t xml:space="preserve">Nigeria’s market-linkage column is 2.58 with them and 2.64 without — either side of the 2.6 threshold, and the only column in either country whose status turns on the mean rather than a prerequisite. The census recorded three of those mappings differently from the model</w:t>
            </w:r>
          </w:p>
        </w:tc>
        <w:tc>
          <w:tcPr/>
          <w:p>
            <w:pPr>
              <w:pStyle w:val="Compact"/>
            </w:pPr>
            <w:r>
              <w:t xml:space="preserve">Census reconciled to the model (1.6, 1.7, 1.8, 7.2, 7.12); both means now printed in the matrix; the question itself referred as spec §13.12 rather than settled here</w:t>
            </w:r>
          </w:p>
        </w:tc>
        <w:tc>
          <w:tcPr/>
          <w:p>
            <w:pPr>
              <w:pStyle w:val="Compact"/>
            </w:pPr>
            <w:r>
              <w:t xml:space="preserve">RECONCILED — decision item</w:t>
            </w:r>
          </w:p>
        </w:tc>
      </w:tr>
      <w:tr>
        <w:tc>
          <w:tcPr/>
          <w:p>
            <w:pPr>
              <w:pStyle w:val="Compact"/>
            </w:pPr>
            <w:r>
              <w:t xml:space="preserve">44</w:t>
            </w:r>
          </w:p>
        </w:tc>
        <w:tc>
          <w:tcPr/>
          <w:p>
            <w:pPr>
              <w:pStyle w:val="Compact"/>
            </w:pPr>
            <w:r>
              <w:t xml:space="preserve">D5</w:t>
            </w:r>
          </w:p>
        </w:tc>
        <w:tc>
          <w:tcPr/>
          <w:p>
            <w:pPr>
              <w:pStyle w:val="Compact"/>
            </w:pPr>
            <w:r>
              <w:t xml:space="preserve">External design review</w:t>
            </w:r>
          </w:p>
        </w:tc>
        <w:tc>
          <w:tcPr/>
          <w:p>
            <w:pPr>
              <w:pStyle w:val="Compact"/>
            </w:pPr>
            <w:r>
              <w:rPr>
                <w:b/>
                <w:bCs/>
              </w:rPr>
              <w:t xml:space="preserve">Two stale v1.6 labels survived inside the v1.7 report</w:t>
            </w:r>
            <w:r>
              <w:t xml:space="preserve"> </w:t>
            </w:r>
            <w:r>
              <w:t xml:space="preserve">— the impact-crosswalk caption and the method box — in a document whose invariant is that it carries no process history</w:t>
            </w:r>
          </w:p>
        </w:tc>
        <w:tc>
          <w:tcPr/>
          <w:p>
            <w:pPr>
              <w:pStyle w:val="Compact"/>
            </w:pPr>
            <w:r>
              <w:t xml:space="preserve">Both read v1.7</w:t>
            </w:r>
          </w:p>
        </w:tc>
        <w:tc>
          <w:tcPr/>
          <w:p>
            <w:pPr>
              <w:pStyle w:val="Compact"/>
            </w:pPr>
            <w:r>
              <w:t xml:space="preserve">FIXED</w:t>
            </w:r>
          </w:p>
        </w:tc>
      </w:tr>
      <w:tr>
        <w:tc>
          <w:tcPr/>
          <w:p>
            <w:pPr>
              <w:pStyle w:val="Compact"/>
            </w:pPr>
            <w:r>
              <w:t xml:space="preserve">45</w:t>
            </w:r>
          </w:p>
        </w:tc>
        <w:tc>
          <w:tcPr/>
          <w:p>
            <w:pPr>
              <w:pStyle w:val="Compact"/>
            </w:pPr>
            <w:r>
              <w:t xml:space="preserve">D5</w:t>
            </w:r>
          </w:p>
        </w:tc>
        <w:tc>
          <w:tcPr/>
          <w:p>
            <w:pPr>
              <w:pStyle w:val="Compact"/>
            </w:pPr>
            <w:r>
              <w:t xml:space="preserve">External design review</w:t>
            </w:r>
          </w:p>
        </w:tc>
        <w:tc>
          <w:tcPr/>
          <w:p>
            <w:pPr>
              <w:pStyle w:val="Compact"/>
            </w:pPr>
            <w:r>
              <w:rPr>
                <w:b/>
                <w:bCs/>
              </w:rPr>
              <w:t xml:space="preserve">The standalone sanitizer reached only top-level string fields</w:t>
            </w:r>
            <w:r>
              <w:t xml:space="preserve">, so the register’s use-case tags, the narrative blocks and indicator value prose were never americanized or leak-scanned. Separately, the spelling rules ran over</w:t>
            </w:r>
            <w:r>
              <w:t xml:space="preserve"> </w:t>
            </w:r>
            <w:r>
              <w:rPr>
                <w:b/>
                <w:bCs/>
              </w:rPr>
              <w:t xml:space="preserve">URLs</w:t>
            </w:r>
            <w:r>
              <w:t xml:space="preserve">, where two live citations contain the exact strings the rules rewrite</w:t>
            </w:r>
          </w:p>
        </w:tc>
        <w:tc>
          <w:tcPr/>
          <w:p>
            <w:pPr>
              <w:pStyle w:val="Compact"/>
            </w:pPr>
            <w:r>
              <w:t xml:space="preserve">Sanitizer walks lists and nested values; URLs and proper names are shielded before any rule runs, so a citation cannot be silently rewritten</w:t>
            </w:r>
          </w:p>
        </w:tc>
        <w:tc>
          <w:tcPr/>
          <w:p>
            <w:pPr>
              <w:pStyle w:val="Compact"/>
            </w:pPr>
            <w:r>
              <w:t xml:space="preserve">FIXED</w:t>
            </w:r>
          </w:p>
        </w:tc>
      </w:tr>
      <w:tr>
        <w:tc>
          <w:tcPr/>
          <w:p>
            <w:pPr>
              <w:pStyle w:val="Compact"/>
            </w:pPr>
            <w:r>
              <w:t xml:space="preserve">46</w:t>
            </w:r>
          </w:p>
        </w:tc>
        <w:tc>
          <w:tcPr/>
          <w:p>
            <w:pPr>
              <w:pStyle w:val="Compact"/>
            </w:pPr>
            <w:r>
              <w:t xml:space="preserve">D-PROC</w:t>
            </w:r>
          </w:p>
        </w:tc>
        <w:tc>
          <w:tcPr/>
          <w:p>
            <w:pPr>
              <w:pStyle w:val="Compact"/>
            </w:pPr>
            <w:r>
              <w:t xml:space="preserve">External design review</w:t>
            </w:r>
          </w:p>
        </w:tc>
        <w:tc>
          <w:tcPr/>
          <w:p>
            <w:pPr>
              <w:pStyle w:val="Compact"/>
            </w:pPr>
            <w:r>
              <w:rPr>
                <w:b/>
                <w:bCs/>
              </w:rPr>
              <w:t xml:space="preserve">The transmittal source lived in a session scratchpad</w:t>
            </w:r>
            <w:r>
              <w:t xml:space="preserve">, outside the project — the package could not be rebuilt from the repository alone</w:t>
            </w:r>
          </w:p>
        </w:tc>
        <w:tc>
          <w:tcPr/>
          <w:p>
            <w:pPr>
              <w:pStyle w:val="Compact"/>
            </w:pPr>
            <w:r>
              <w:t xml:space="preserve">Moved to</w:t>
            </w:r>
            <w:r>
              <w:t xml:space="preserve"> </w:t>
            </w:r>
            <w:r>
              <w:rPr>
                <w:rStyle w:val="VerbatimChar"/>
              </w:rPr>
              <w:t xml:space="preserve">transmittal/note.docx</w:t>
            </w:r>
            <w:r>
              <w:t xml:space="preserve">;</w:t>
            </w:r>
            <w:r>
              <w:t xml:space="preserve"> </w:t>
            </w:r>
            <w:r>
              <w:rPr>
                <w:rStyle w:val="VerbatimChar"/>
              </w:rPr>
              <w:t xml:space="preserve">build_package.sh</w:t>
            </w:r>
            <w:r>
              <w:t xml:space="preserve"> </w:t>
            </w:r>
            <w:r>
              <w:t xml:space="preserve">reads it from the project</w:t>
            </w:r>
          </w:p>
        </w:tc>
        <w:tc>
          <w:tcPr/>
          <w:p>
            <w:pPr>
              <w:pStyle w:val="Compact"/>
            </w:pPr>
            <w:r>
              <w:t xml:space="preserve">FIXED</w:t>
            </w:r>
          </w:p>
        </w:tc>
      </w:tr>
    </w:tbl>
    <w:bookmarkStart w:id="9" w:name="diffs-to-reconcile-clean-slate-vs-prior"/>
    <w:p>
      <w:pPr>
        <w:pStyle w:val="Heading2"/>
      </w:pPr>
      <w:r>
        <w:t xml:space="preserve">Diffs to reconcile (clean slate vs prior)</w:t>
      </w:r>
    </w:p>
    <w:p>
      <w:pPr>
        <w:pStyle w:val="FirstParagraph"/>
      </w:pPr>
      <w:r>
        <w:t xml:space="preserve">See diff_EGY.md / diff_NGA.md (generated). Headlines: Egypt 0→4 honest gaps and AGI Partial→Blocked (3.11 migration reading refuted); Nigeria 21→4 gaps (15 closed by deeper search, 2 more by G2), E1 Established→Emerging after G2 level corrections.</w:t>
      </w:r>
    </w:p>
    <w:bookmarkEnd w:id="9"/>
    <w:bookmarkStart w:id="10" w:name="Xac6ec96d0ac974b4fcbb71671461b6280fe249f"/>
    <w:p>
      <w:pPr>
        <w:pStyle w:val="Heading2"/>
      </w:pPr>
      <w:r>
        <w:t xml:space="preserve">G2 findings (adversarial review, 22 Aug 2026 — 6 reviewers, 66 findings)</w:t>
      </w:r>
    </w:p>
    <w:p>
      <w:pPr>
        <w:pStyle w:val="FirstParagraph"/>
      </w:pPr>
      <w:r>
        <w:rPr>
          <w:b/>
          <w:bCs/>
        </w:rPr>
        <w:t xml:space="preserve">Prerequisites: 24/24 rows confirmed under attack, zero refutations in either country</w:t>
      </w:r>
      <w:r>
        <w:t xml:space="preserve"> </w:t>
      </w:r>
      <w:r>
        <w:t xml:space="preserve">— every blocking-power call (both AGI blockers per country, the universal narrows, the delivery-flag absences) survived independent re-verification, several with the primary artifact downloaded and text-extracted.</w:t>
      </w:r>
    </w:p>
    <w:p>
      <w:pPr>
        <w:pStyle w:val="BodyText"/>
      </w:pPr>
      <w:r>
        <w:rPr>
          <w:b/>
          <w:bCs/>
        </w:rPr>
        <w:t xml:space="preserve">12 adjustments applied</w:t>
      </w:r>
      <w:r>
        <w:t xml:space="preserve"> </w:t>
      </w:r>
      <w:r>
        <w:t xml:space="preserve">(provenance/vintage class): year-vs-artifact mismatches re-anchored (EGY 5.5, 4.9; NGA 3.3); enforcement figures corrected to the primary NDPC Annual Report 2025 (NGA 4.1); two levels reduced where the cited artifact could not carry the quality rung (NGA 6.14, 6.4 → L3, dropping E1 to Emerging); GCI values re-recorded on their published 0–100 basis; two dead/non-populating deep links flagged for re-anchor (EGY 3.4, NGA 2.5); one multi-claim value given its second anchor (NGA 5.5).</w:t>
      </w:r>
    </w:p>
    <w:p>
      <w:pPr>
        <w:pStyle w:val="BodyText"/>
      </w:pPr>
      <w:r>
        <w:rPr>
          <w:b/>
          <w:bCs/>
        </w:rPr>
        <w:t xml:space="preserve">4 gap-refutations succeeded (2 per country)</w:t>
      </w:r>
      <w:r>
        <w:t xml:space="preserve"> </w:t>
      </w:r>
      <w:r>
        <w:t xml:space="preserve">— the second searcher filled: EGY 1.8 (practice-specific CSA evidence, USDA GAIN), EGY 8.9 (regional IFPRI baseline, internal-consistency argument), NGA 5.4 (MICS 2021 digital-skills proxy, WB–Mastercard), NGA 6.13 (Enterprise Surveys Nigeria 2025 wave exists — the trail’s premise was wrong). Two G2-identified follow-ups: Wayback archiving was skipped on several T4 captures (A10 discipline), and three government sites (sis.gov.eg TLS chain, NIMC JS-shell, oecd.org bot-block) defeat automated link resolution while being genuinely live — A10 needs a browser-grade resolver or archive-first rule.</w:t>
      </w:r>
    </w:p>
    <w:bookmarkEnd w:id="10"/>
    <w:bookmarkStart w:id="11" w:name="loop-1-close-out"/>
    <w:p>
      <w:pPr>
        <w:pStyle w:val="Heading2"/>
      </w:pPr>
      <w:r>
        <w:t xml:space="preserve">Loop-1 close-out</w:t>
      </w:r>
    </w:p>
    <w:p>
      <w:pPr>
        <w:pStyle w:val="FirstParagraph"/>
      </w:pPr>
      <w:r>
        <w:t xml:space="preserve">Final state:</w:t>
      </w:r>
      <w:r>
        <w:t xml:space="preserve"> </w:t>
      </w:r>
      <w:r>
        <w:rPr>
          <w:b/>
          <w:bCs/>
        </w:rPr>
        <w:t xml:space="preserve">Egypt 21M/32D/0J/4G · Nigeria 18M/34D/1J/4G</w:t>
      </w:r>
      <w:r>
        <w:t xml:space="preserve"> </w:t>
      </w:r>
      <w:r>
        <w:t xml:space="preserve">— both countries at 52–53 value-backed rows and 4 legitimate gaps each, produced by the same process, all gates G1+G2 executed, QC 8/8 on both renders. Matrices: Egypt 5 Ready + AGI Blocked; Nigeria 5 Partial (universal narrow: rural electricity) + AGI Blocked.</w:t>
      </w:r>
    </w:p>
    <w:p>
      <w:pPr>
        <w:pStyle w:val="BodyText"/>
      </w:pPr>
      <w:r>
        <w:rPr>
          <w:b/>
          <w:bCs/>
        </w:rPr>
        <w:t xml:space="preserve">Workbook migration (23 Aug 2026):</w:t>
      </w:r>
      <w:r>
        <w:t xml:space="preserve"> </w:t>
      </w:r>
      <w:r>
        <w:t xml:space="preserve">three v1.7 workbooks rebuilt from loop-1 data — Source URL and Tier entry columns, Tiers reference sheet, Issues log, Read Me gate sign-off block, and the two loop-1 matrix rulings encoded in formula. Verified 512/512 against the engine (classes, levels, staleness, pillar n/mean/band/composition, layers, leapfrog, all 12 prerequisites, all 6 matrix statuses and means) with zero formula errors in all three files. Three further defects found and fixed at root (26–28).</w:t>
      </w:r>
    </w:p>
    <w:p>
      <w:pPr>
        <w:pStyle w:val="BodyText"/>
      </w:pPr>
      <w:r>
        <w:rPr>
          <w:b/>
          <w:bCs/>
        </w:rPr>
        <w:t xml:space="preserve">Standalone-report pass (23 Aug 2026):</w:t>
      </w:r>
      <w:r>
        <w:t xml:space="preserve"> </w:t>
      </w:r>
      <w:r>
        <w:t xml:space="preserve">five further defects found and fixed at root after review — the report must be a complete document in itself, with no process history and no internal cross-references. Both reports re-scanned clean against a 22-term leak list and republished.</w:t>
      </w:r>
    </w:p>
    <w:p>
      <w:pPr>
        <w:pStyle w:val="BodyText"/>
      </w:pPr>
      <w:r>
        <w:rPr>
          <w:b/>
          <w:bCs/>
        </w:rPr>
        <w:t xml:space="preserve">Correction pass (23 Aug 2026):</w:t>
      </w:r>
      <w:r>
        <w:t xml:space="preserve"> </w:t>
      </w:r>
      <w:r>
        <w:t xml:space="preserve">everything correctable without a design ruling was corrected rather than referred — see entries 29-38 and specification §14. What remains for review are twelve design decisions, each carried on the row it concerns. An end-to-end build and verification record (</w:t>
      </w:r>
      <w:r>
        <w:rPr>
          <w:rStyle w:val="VerbatimChar"/>
        </w:rPr>
        <w:t xml:space="preserve">VERIFICATION-RECORD.md</w:t>
      </w:r>
      <w:r>
        <w:t xml:space="preserve">) regenerates every artifact from source and checks each stage.</w:t>
      </w:r>
    </w:p>
    <w:p>
      <w:pPr>
        <w:pStyle w:val="BodyText"/>
      </w:pPr>
      <w:r>
        <w:rPr>
          <w:b/>
          <w:bCs/>
        </w:rPr>
        <w:t xml:space="preserve">External design review (23 Aug 2026):</w:t>
      </w:r>
      <w:r>
        <w:t xml:space="preserve"> </w:t>
      </w:r>
      <w:r>
        <w:t xml:space="preserve">the assembled package was read end to end by an independent reviewer with file access, before sending. Eight further defects found and fixed at root (39–46) and one design question referred (43 → spec §13.12). Five of the eight were invisible from inside the pipeline because they lived in the</w:t>
      </w:r>
      <w:r>
        <w:t xml:space="preserve"> </w:t>
      </w:r>
      <w:r>
        <w:rPr>
          <w:i/>
          <w:iCs/>
        </w:rPr>
        <w:t xml:space="preserve">rendered</w:t>
      </w:r>
      <w:r>
        <w:t xml:space="preserve"> </w:t>
      </w:r>
      <w:r>
        <w:t xml:space="preserve">artifact rather than the data: a cropped PDF column, two stale version labels, an unsanitized text path, and a list shorter than its caption. The lesson for the QC protocol: G2 reads the evidence, but nothing was reading the deliverable as a document.</w:t>
      </w:r>
    </w:p>
    <w:p>
      <w:pPr>
        <w:pStyle w:val="BodyText"/>
      </w:pPr>
      <w:r>
        <w:rPr>
          <w:b/>
          <w:bCs/>
        </w:rPr>
        <w:t xml:space="preserve">Exit verdict: loop 2 required</w:t>
      </w:r>
      <w:r>
        <w:t xml:space="preserve"> </w:t>
      </w:r>
      <w:r>
        <w:t xml:space="preserve">(by the exit criterion — this pass generated new D2–D6 defects, so a clean re-pass must show none). Loop-2 workload is re-verification, not re-research: schema enum for tiers, per-country lead injection, FAOSTAT bulk-file route, re-anchor the flagged links with archives, plus triage of the ~40 D2/D3 definition ambiguities into census fixes vs §13 decision items — several of which need Katreyna before they can close.</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2026-08-22T22:36:31Z</dcterms:created>
  <dcterms:modified xsi:type="dcterms:W3CDTF">2026-08-22T22:36:31Z</dcterms:modified>
</cp:coreProperties>
</file>

<file path=docProps/custom.xml><?xml version="1.0" encoding="utf-8"?>
<Properties xmlns="http://schemas.openxmlformats.org/officeDocument/2006/custom-properties" xmlns:vt="http://schemas.openxmlformats.org/officeDocument/2006/docPropsVTypes"/>
</file>