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color w:val="1F5F5B"/>
        </w:rPr>
        <w:t xml:space="preserve">DAMM v1.7 — review package</w:t>
      </w:r>
    </w:p>
    <w:p>
      <w:pPr>
        <w:spacing w:after="320"/>
      </w:pPr>
      <w:r>
        <w:rPr>
          <w:color w:val="5C6663"/>
          <w:sz w:val="22"/>
          <w:szCs w:val="22"/>
        </w:rPr>
        <w:t xml:space="preserve">To: Katreyna  ·  From: Randeep Sudan  ·  23 August 2026  ·  Digital Agriculture Maturity Model</w:t>
      </w:r>
    </w:p>
    <w:p>
      <w:pPr>
        <w:pStyle w:val="Heading1"/>
        <w:spacing w:after="200" w:before="360"/>
      </w:pPr>
      <w:r>
        <w:t xml:space="preserve">What this is, and what is being asked</w:t>
      </w:r>
    </w:p>
    <w:p>
      <w:pPr>
        <w:spacing w:after="160" w:line="276"/>
      </w:pPr>
      <w:r>
        <w:t xml:space="preserve">This is version 1.7 of the Digital Agriculture Maturity Model, together with two country assessments produced by it. None of it has been circulated before, so there is no earlier version to reconcile against; this package is the first anyone outside the team sees.</w:t>
      </w:r>
    </w:p>
    <w:p>
      <w:pPr>
        <w:spacing w:after="160" w:line="276"/>
      </w:pPr>
      <w:r>
        <w:t xml:space="preserve">The ask is narrow and specific. Section 13 of the specification lists twelve decisions — the places where the model rests on judgment rather than on evidence, and where an outside reading is worth more than another internal one. What it does not contain is a list of known defects for you to find: everything that could be corrected without a design ruling has been corrected before sending, and section 14 records each correction and what it changed. The package is a finished instrument with an explicit decision list, not a draft with open faults.</w:t>
      </w:r>
    </w:p>
    <w:p>
      <w:pPr>
        <w:pStyle w:val="Heading1"/>
        <w:spacing w:after="200" w:before="360"/>
      </w:pPr>
      <w:r>
        <w:t xml:space="preserve">Where to start</w:t>
      </w:r>
    </w:p>
    <w:tbl>
      <w:tblPr>
        <w:tblW w:type="dxa" w:w="9360"/>
        <w:tblBorders>
          <w:top w:val="single" w:color="D8DDDA" w:sz="4"/>
          <w:left w:val="single" w:color="D8DDDA" w:sz="4"/>
          <w:bottom w:val="single" w:color="D8DDDA" w:sz="4"/>
          <w:right w:val="single" w:color="D8DDDA" w:sz="4"/>
          <w:insideH w:val="single" w:color="D8DDDA" w:sz="4"/>
          <w:insideV w:val="single" w:color="D8DDDA" w:sz="4"/>
        </w:tblBorders>
      </w:tblPr>
      <w:tblGrid>
        <w:gridCol w:w="700"/>
        <w:gridCol w:w="3000"/>
        <w:gridCol w:w="5660"/>
      </w:tblGrid>
      <w:tr>
        <w:trPr>
          <w:tblHeader/>
        </w:trPr>
        <w:tc>
          <w:tcPr>
            <w:tcW w:type="dxa" w:w="700"/>
            <w:shd w:fill="EAF1F0" w:val="clear"/>
            <w:tcMar>
              <w:top w:type="dxa" w:w="60"/>
              <w:left w:type="dxa" w:w="100"/>
              <w:bottom w:type="dxa" w:w="60"/>
              <w:right w:type="dxa" w:w="100"/>
            </w:tcMar>
          </w:tcPr>
          <w:p>
            <w:pPr>
              <w:spacing w:after="0"/>
              <w:jc w:val="left"/>
            </w:pPr>
            <w:r>
              <w:rPr>
                <w:b/>
                <w:bCs/>
                <w:color w:val="1D2321"/>
                <w:sz w:val="19"/>
                <w:szCs w:val="19"/>
              </w:rPr>
              <w:t xml:space="preserve">Read</w:t>
            </w:r>
          </w:p>
        </w:tc>
        <w:tc>
          <w:tcPr>
            <w:tcW w:type="dxa" w:w="3000"/>
            <w:shd w:fill="EAF1F0" w:val="clear"/>
            <w:tcMar>
              <w:top w:type="dxa" w:w="60"/>
              <w:left w:type="dxa" w:w="100"/>
              <w:bottom w:type="dxa" w:w="60"/>
              <w:right w:type="dxa" w:w="100"/>
            </w:tcMar>
          </w:tcPr>
          <w:p>
            <w:pPr>
              <w:spacing w:after="0"/>
              <w:jc w:val="left"/>
            </w:pPr>
            <w:r>
              <w:rPr>
                <w:b/>
                <w:bCs/>
                <w:color w:val="1D2321"/>
                <w:sz w:val="19"/>
                <w:szCs w:val="19"/>
              </w:rPr>
              <w:t xml:space="preserve">Document</w:t>
            </w:r>
          </w:p>
        </w:tc>
        <w:tc>
          <w:tcPr>
            <w:tcW w:type="dxa" w:w="5660"/>
            <w:shd w:fill="EAF1F0" w:val="clear"/>
            <w:tcMar>
              <w:top w:type="dxa" w:w="60"/>
              <w:left w:type="dxa" w:w="100"/>
              <w:bottom w:type="dxa" w:w="60"/>
              <w:right w:type="dxa" w:w="100"/>
            </w:tcMar>
          </w:tcPr>
          <w:p>
            <w:pPr>
              <w:spacing w:after="0"/>
              <w:jc w:val="left"/>
            </w:pPr>
            <w:r>
              <w:rPr>
                <w:b/>
                <w:bCs/>
                <w:color w:val="1D2321"/>
                <w:sz w:val="19"/>
                <w:szCs w:val="19"/>
              </w:rPr>
              <w:t xml:space="preserve">Why</w:t>
            </w:r>
          </w:p>
        </w:tc>
      </w:tr>
      <w:tr>
        <w:tc>
          <w:tcPr>
            <w:tcW w:type="dxa" w:w="700"/>
            <w:tcMar>
              <w:top w:type="dxa" w:w="60"/>
              <w:left w:type="dxa" w:w="100"/>
              <w:bottom w:type="dxa" w:w="60"/>
              <w:right w:type="dxa" w:w="100"/>
            </w:tcMar>
          </w:tcPr>
          <w:p>
            <w:pPr>
              <w:spacing w:after="0"/>
              <w:jc w:val="left"/>
            </w:pPr>
            <w:r>
              <w:rPr>
                <w:color w:val="1D2321"/>
                <w:sz w:val="19"/>
                <w:szCs w:val="19"/>
              </w:rPr>
              <w:t xml:space="preserve">1</w:t>
            </w:r>
          </w:p>
        </w:tc>
        <w:tc>
          <w:tcPr>
            <w:tcW w:type="dxa" w:w="3000"/>
            <w:tcMar>
              <w:top w:type="dxa" w:w="60"/>
              <w:left w:type="dxa" w:w="100"/>
              <w:bottom w:type="dxa" w:w="60"/>
              <w:right w:type="dxa" w:w="100"/>
            </w:tcMar>
          </w:tcPr>
          <w:p>
            <w:pPr>
              <w:spacing w:after="0"/>
              <w:jc w:val="left"/>
            </w:pPr>
            <w:r>
              <w:rPr>
                <w:color w:val="1D2321"/>
                <w:sz w:val="19"/>
                <w:szCs w:val="19"/>
              </w:rPr>
              <w:t xml:space="preserve">Guidebook (24 pages)</w:t>
            </w:r>
          </w:p>
        </w:tc>
        <w:tc>
          <w:tcPr>
            <w:tcW w:type="dxa" w:w="5660"/>
            <w:tcMar>
              <w:top w:type="dxa" w:w="60"/>
              <w:left w:type="dxa" w:w="100"/>
              <w:bottom w:type="dxa" w:w="60"/>
              <w:right w:type="dxa" w:w="100"/>
            </w:tcMar>
          </w:tcPr>
          <w:p>
            <w:pPr>
              <w:spacing w:after="0"/>
              <w:jc w:val="left"/>
            </w:pPr>
            <w:r>
              <w:rPr>
                <w:color w:val="1D2321"/>
                <w:sz w:val="19"/>
                <w:szCs w:val="19"/>
              </w:rPr>
              <w:t xml:space="preserve">The method in prose. Sections 4 to 7 carry the rules the decisions touch.</w:t>
            </w:r>
          </w:p>
        </w:tc>
      </w:tr>
      <w:tr>
        <w:tc>
          <w:tcPr>
            <w:tcW w:type="dxa" w:w="700"/>
            <w:tcMar>
              <w:top w:type="dxa" w:w="60"/>
              <w:left w:type="dxa" w:w="100"/>
              <w:bottom w:type="dxa" w:w="60"/>
              <w:right w:type="dxa" w:w="100"/>
            </w:tcMar>
          </w:tcPr>
          <w:p>
            <w:pPr>
              <w:spacing w:after="0"/>
              <w:jc w:val="left"/>
            </w:pPr>
            <w:r>
              <w:rPr>
                <w:color w:val="1D2321"/>
                <w:sz w:val="19"/>
                <w:szCs w:val="19"/>
              </w:rPr>
              <w:t xml:space="preserve">2</w:t>
            </w:r>
          </w:p>
        </w:tc>
        <w:tc>
          <w:tcPr>
            <w:tcW w:type="dxa" w:w="3000"/>
            <w:tcMar>
              <w:top w:type="dxa" w:w="60"/>
              <w:left w:type="dxa" w:w="100"/>
              <w:bottom w:type="dxa" w:w="60"/>
              <w:right w:type="dxa" w:w="100"/>
            </w:tcMar>
          </w:tcPr>
          <w:p>
            <w:pPr>
              <w:spacing w:after="0"/>
              <w:jc w:val="left"/>
            </w:pPr>
            <w:r>
              <w:rPr>
                <w:color w:val="1D2321"/>
                <w:sz w:val="19"/>
                <w:szCs w:val="19"/>
              </w:rPr>
              <w:t xml:space="preserve">Diagnostic reports — Egypt, Nigeria</w:t>
            </w:r>
          </w:p>
        </w:tc>
        <w:tc>
          <w:tcPr>
            <w:tcW w:type="dxa" w:w="5660"/>
            <w:tcMar>
              <w:top w:type="dxa" w:w="60"/>
              <w:left w:type="dxa" w:w="100"/>
              <w:bottom w:type="dxa" w:w="60"/>
              <w:right w:type="dxa" w:w="100"/>
            </w:tcMar>
          </w:tcPr>
          <w:p>
            <w:pPr>
              <w:spacing w:after="0"/>
              <w:jc w:val="left"/>
            </w:pPr>
            <w:r>
              <w:rPr>
                <w:color w:val="1D2321"/>
                <w:sz w:val="19"/>
                <w:szCs w:val="19"/>
              </w:rPr>
              <w:t xml:space="preserve">What the model actually produces. Ten sections each, and each one a complete document in itself.</w:t>
            </w:r>
          </w:p>
        </w:tc>
      </w:tr>
      <w:tr>
        <w:tc>
          <w:tcPr>
            <w:tcW w:type="dxa" w:w="700"/>
            <w:tcMar>
              <w:top w:type="dxa" w:w="60"/>
              <w:left w:type="dxa" w:w="100"/>
              <w:bottom w:type="dxa" w:w="60"/>
              <w:right w:type="dxa" w:w="100"/>
            </w:tcMar>
          </w:tcPr>
          <w:p>
            <w:pPr>
              <w:spacing w:after="0"/>
              <w:jc w:val="left"/>
            </w:pPr>
            <w:r>
              <w:rPr>
                <w:color w:val="1D2321"/>
                <w:sz w:val="19"/>
                <w:szCs w:val="19"/>
              </w:rPr>
              <w:t xml:space="preserve">3</w:t>
            </w:r>
          </w:p>
        </w:tc>
        <w:tc>
          <w:tcPr>
            <w:tcW w:type="dxa" w:w="3000"/>
            <w:tcMar>
              <w:top w:type="dxa" w:w="60"/>
              <w:left w:type="dxa" w:w="100"/>
              <w:bottom w:type="dxa" w:w="60"/>
              <w:right w:type="dxa" w:w="100"/>
            </w:tcMar>
          </w:tcPr>
          <w:p>
            <w:pPr>
              <w:spacing w:after="0"/>
              <w:jc w:val="left"/>
            </w:pPr>
            <w:r>
              <w:rPr>
                <w:color w:val="1D2321"/>
                <w:sz w:val="19"/>
                <w:szCs w:val="19"/>
              </w:rPr>
              <w:t xml:space="preserve">Specification, section 13</w:t>
            </w:r>
          </w:p>
        </w:tc>
        <w:tc>
          <w:tcPr>
            <w:tcW w:type="dxa" w:w="5660"/>
            <w:tcMar>
              <w:top w:type="dxa" w:w="60"/>
              <w:left w:type="dxa" w:w="100"/>
              <w:bottom w:type="dxa" w:w="60"/>
              <w:right w:type="dxa" w:w="100"/>
            </w:tcMar>
          </w:tcPr>
          <w:p>
            <w:pPr>
              <w:spacing w:after="0"/>
              <w:jc w:val="left"/>
            </w:pPr>
            <w:r>
              <w:rPr>
                <w:color w:val="1D2321"/>
                <w:sz w:val="19"/>
                <w:szCs w:val="19"/>
              </w:rPr>
              <w:t xml:space="preserve">The twelve items. This is the ask.</w:t>
            </w:r>
          </w:p>
        </w:tc>
      </w:tr>
      <w:tr>
        <w:tc>
          <w:tcPr>
            <w:tcW w:type="dxa" w:w="700"/>
            <w:tcMar>
              <w:top w:type="dxa" w:w="60"/>
              <w:left w:type="dxa" w:w="100"/>
              <w:bottom w:type="dxa" w:w="60"/>
              <w:right w:type="dxa" w:w="100"/>
            </w:tcMar>
          </w:tcPr>
          <w:p>
            <w:pPr>
              <w:spacing w:after="0"/>
              <w:jc w:val="left"/>
            </w:pPr>
            <w:r>
              <w:rPr>
                <w:color w:val="1D2321"/>
                <w:sz w:val="19"/>
                <w:szCs w:val="19"/>
              </w:rPr>
              <w:t xml:space="preserve">4</w:t>
            </w:r>
          </w:p>
        </w:tc>
        <w:tc>
          <w:tcPr>
            <w:tcW w:type="dxa" w:w="3000"/>
            <w:tcMar>
              <w:top w:type="dxa" w:w="60"/>
              <w:left w:type="dxa" w:w="100"/>
              <w:bottom w:type="dxa" w:w="60"/>
              <w:right w:type="dxa" w:w="100"/>
            </w:tcMar>
          </w:tcPr>
          <w:p>
            <w:pPr>
              <w:spacing w:after="0"/>
              <w:jc w:val="left"/>
            </w:pPr>
            <w:r>
              <w:rPr>
                <w:color w:val="1D2321"/>
                <w:sz w:val="19"/>
                <w:szCs w:val="19"/>
              </w:rPr>
              <w:t xml:space="preserve">Scoring workbooks — template, Egypt, Nigeria</w:t>
            </w:r>
          </w:p>
        </w:tc>
        <w:tc>
          <w:tcPr>
            <w:tcW w:type="dxa" w:w="5660"/>
            <w:tcMar>
              <w:top w:type="dxa" w:w="60"/>
              <w:left w:type="dxa" w:w="100"/>
              <w:bottom w:type="dxa" w:w="60"/>
              <w:right w:type="dxa" w:w="100"/>
            </w:tcMar>
          </w:tcPr>
          <w:p>
            <w:pPr>
              <w:spacing w:after="0"/>
              <w:jc w:val="left"/>
            </w:pPr>
            <w:r>
              <w:rPr>
                <w:color w:val="1D2321"/>
                <w:sz w:val="19"/>
                <w:szCs w:val="19"/>
              </w:rPr>
              <w:t xml:space="preserve">The instrument. The two country files are the same instrument, populated; every band, status and flag on their dashboards is computed, not typed.</w:t>
            </w:r>
          </w:p>
        </w:tc>
      </w:tr>
      <w:tr>
        <w:tc>
          <w:tcPr>
            <w:tcW w:type="dxa" w:w="700"/>
            <w:tcMar>
              <w:top w:type="dxa" w:w="60"/>
              <w:left w:type="dxa" w:w="100"/>
              <w:bottom w:type="dxa" w:w="60"/>
              <w:right w:type="dxa" w:w="100"/>
            </w:tcMar>
          </w:tcPr>
          <w:p>
            <w:pPr>
              <w:spacing w:after="0"/>
              <w:jc w:val="left"/>
            </w:pPr>
            <w:r>
              <w:rPr>
                <w:color w:val="1D2321"/>
                <w:sz w:val="19"/>
                <w:szCs w:val="19"/>
              </w:rPr>
              <w:t xml:space="preserve">5</w:t>
            </w:r>
          </w:p>
        </w:tc>
        <w:tc>
          <w:tcPr>
            <w:tcW w:type="dxa" w:w="3000"/>
            <w:tcMar>
              <w:top w:type="dxa" w:w="60"/>
              <w:left w:type="dxa" w:w="100"/>
              <w:bottom w:type="dxa" w:w="60"/>
              <w:right w:type="dxa" w:w="100"/>
            </w:tcMar>
          </w:tcPr>
          <w:p>
            <w:pPr>
              <w:spacing w:after="0"/>
              <w:jc w:val="left"/>
            </w:pPr>
            <w:r>
              <w:rPr>
                <w:color w:val="1D2321"/>
                <w:sz w:val="19"/>
                <w:szCs w:val="19"/>
              </w:rPr>
              <w:t xml:space="preserve">Companions and issues log</w:t>
            </w:r>
          </w:p>
        </w:tc>
        <w:tc>
          <w:tcPr>
            <w:tcW w:type="dxa" w:w="5660"/>
            <w:tcMar>
              <w:top w:type="dxa" w:w="60"/>
              <w:left w:type="dxa" w:w="100"/>
              <w:bottom w:type="dxa" w:w="60"/>
              <w:right w:type="dxa" w:w="100"/>
            </w:tcMar>
          </w:tcPr>
          <w:p>
            <w:pPr>
              <w:spacing w:after="0"/>
              <w:jc w:val="left"/>
            </w:pPr>
            <w:r>
              <w:rPr>
                <w:color w:val="1D2321"/>
                <w:sz w:val="19"/>
                <w:szCs w:val="19"/>
              </w:rPr>
              <w:t xml:space="preserve">Reference: source tiers, quality control, the practice-library schema, and the defect log from the test runs. That log closes with the words ‘loop 2 required’, and they mean what the last paragraph of this note describes — the regeneration and re-verification pass that runs once your rulings land. It is the exit gate for the version stamp, not a list of faults still in the package.</w:t>
            </w:r>
          </w:p>
        </w:tc>
      </w:tr>
    </w:tbl>
    <w:p>
      <w:pPr>
        <w:pStyle w:val="Heading1"/>
        <w:spacing w:after="200" w:before="360"/>
      </w:pPr>
      <w:r>
        <w:t xml:space="preserve">The decisions, grouped</w:t>
      </w:r>
    </w:p>
    <w:p>
      <w:pPr>
        <w:spacing w:after="160" w:line="276"/>
      </w:pPr>
      <w:r>
        <w:rPr>
          <w:b/>
          <w:bCs/>
        </w:rPr>
        <w:t xml:space="preserve">1 · </w:t>
      </w:r>
      <w:r>
        <w:t xml:space="preserve">Calibration. Three items: the band edges, kept at 1.8 / 2.6 / 3.4 / 4.2 and now consumed by nothing downstream, so they can be recut freely; the agriculture-pillar thresholds, which are still carried as test values; and whether to add cereal import dependency and irrigation coverage to that pillar. Both candidates were fetched during the test runs as unscored rows, so the evidence for that third decision is measured rather than argued.</w:t>
      </w:r>
    </w:p>
    <w:p>
      <w:pPr>
        <w:spacing w:after="160" w:line="276"/>
      </w:pPr>
      <w:r>
        <w:rPr>
          <w:b/>
          <w:bCs/>
        </w:rPr>
        <w:t xml:space="preserve">2 · </w:t>
      </w:r>
      <w:r>
        <w:t xml:space="preserve">Binding logic. Three items: the per-use-case prerequisite mapping, which remains the substantive judgment most worth external eyes; and two rulings settled during testing that need ratification — the consent-and-rights prerequisite now gating the agricultural intelligence column, and a universal prerequisite at narrow presence capping every column at partial. Both changed Nigeria's readiness matrix materially. A third has been opened by this review: each use-case column averages every indicator mapped to it, and that set carries agricultural-need and outcome indicators as well as enabling ones. Nigeria’s market-linkage column reads 2.58 with them and 2.64 without — either side of the readiness threshold, and the only column in either country whose status turns on the mean rather than on a prerequisite. Both means are now printed; whether the need and outcome rows belong there is yours to rule.</w:t>
      </w:r>
    </w:p>
    <w:p>
      <w:pPr>
        <w:spacing w:after="160" w:line="276"/>
      </w:pPr>
      <w:r>
        <w:rPr>
          <w:b/>
          <w:bCs/>
        </w:rPr>
        <w:t xml:space="preserve">3 · </w:t>
      </w:r>
      <w:r>
        <w:t xml:space="preserve">Evidence rules. Two items: the source-tier lookup and the register field set; and the scope of the quality-control gates, in particular how much of an assessment a second reviewer should re-check.</w:t>
      </w:r>
    </w:p>
    <w:p>
      <w:pPr>
        <w:spacing w:after="160" w:line="276"/>
      </w:pPr>
      <w:r>
        <w:rPr>
          <w:b/>
          <w:bCs/>
        </w:rPr>
        <w:t xml:space="preserve">4 · </w:t>
      </w:r>
      <w:r>
        <w:t xml:space="preserve">Register hygiene. Two items: roughly forty indicator definitions that the test runs found ambiguous — units, constructs and denominators — each needing a ruling or an explicit deferral; and how sub-readings should display.</w:t>
      </w:r>
    </w:p>
    <w:p>
      <w:pPr>
        <w:spacing w:after="160" w:line="276"/>
      </w:pPr>
      <w:r>
        <w:rPr>
          <w:b/>
          <w:bCs/>
        </w:rPr>
        <w:t xml:space="preserve">5 · </w:t>
      </w:r>
      <w:r>
        <w:t xml:space="preserve">Companion. One item: the schema for the standing practice library, which is what would let a precedent be selected by the readiness matrix rather than chosen by whoever is writing.</w:t>
      </w:r>
    </w:p>
    <w:p>
      <w:pPr>
        <w:pStyle w:val="Heading1"/>
        <w:spacing w:after="200" w:before="360"/>
      </w:pPr>
      <w:r>
        <w:t xml:space="preserve">Three things worth knowing before you read</w:t>
      </w:r>
    </w:p>
    <w:p>
      <w:pPr>
        <w:spacing w:after="160" w:line="276"/>
      </w:pPr>
      <w:r>
        <w:rPr>
          <w:b/>
          <w:bCs/>
        </w:rPr>
        <w:t xml:space="preserve">First. </w:t>
      </w:r>
      <w:r>
        <w:t xml:space="preserve">Egypt's numbers will not match anything you may have seen, and its readiness matrix reads unverified rather than ready. An audit of all fifty-seven indicators found six whose names claimed a construct their evidence did not measure. The most consequential was rural mobile broadband coverage: no rural figure is published for Egypt at any admissible tier, and the assessment had recorded the national figure — 99.8 percent — against it, scoring a universal prerequisite at the top band and returning five ready columns on evidence that did not measure the thing named. It is now recorded as the gap it is. Five columns consequently read unverified, which is what the evidence supports, and the one column with named blockers still reads blocked.</w:t>
      </w:r>
    </w:p>
    <w:p>
      <w:pPr>
        <w:spacing w:after="160" w:line="276"/>
      </w:pPr>
      <w:r>
        <w:rPr>
          <w:b/>
          <w:bCs/>
        </w:rPr>
        <w:t xml:space="preserve">Second. </w:t>
      </w:r>
      <w:r>
        <w:t xml:space="preserve">Forty-four of the fifty-seven indicators carry an open definitional question — six of that kind, thirty recording a defensible but measurably different proxy, nine leaving a unit or denominator unfixed. A forty-fifth question sits on the irrigation candidate row, which is not one of the fifty-seven. Rather than list them in a separate annex, each is attached to its own row in the scoring workbook, in the column headed Open definition question, so that a ruling can be made in place against the evidence it concerns. Eight of the twelve prerequisites are among them, which is why this is the largest item in section 13.</w:t>
      </w:r>
    </w:p>
    <w:p>
      <w:pPr>
        <w:spacing w:after="160" w:line="276"/>
      </w:pPr>
      <w:r>
        <w:rPr>
          <w:b/>
          <w:bCs/>
        </w:rPr>
        <w:t xml:space="preserve">Third. </w:t>
      </w:r>
      <w:r>
        <w:t xml:space="preserve">The reports carry no process history and no cross-references to the method documents: a counterpart reads one document, and the pipeline runs one pass. Of the three quality gates, assessor confirmation and independent review have been executed on both countries; the third, my own sign-off against the four prohibitions, is deliberately still open, because it belongs after ratification rather than before it. A build and verification record travels with the package: every artifact was regenerated from source and re-checked, and it states what passed.</w:t>
      </w:r>
    </w:p>
    <w:p>
      <w:pPr>
        <w:pStyle w:val="Heading1"/>
        <w:spacing w:after="200" w:before="360"/>
      </w:pPr>
      <w:r>
        <w:t xml:space="preserve">What is deliberately not here</w:t>
      </w:r>
    </w:p>
    <w:p>
      <w:pPr>
        <w:spacing w:after="100" w:line="276"/>
        <w:ind w:left="360" w:hanging="180"/>
      </w:pPr>
      <w:r>
        <w:t xml:space="preserve">— Bhutan. That assessment served a project already delivered, and is out of scope for this release.</w:t>
      </w:r>
    </w:p>
    <w:p>
      <w:pPr>
        <w:spacing w:after="100" w:line="276"/>
        <w:ind w:left="360" w:hanging="180"/>
      </w:pPr>
      <w:r>
        <w:t xml:space="preserve">— DAR Studio. The application still runs the old model. It is being rebuilt against version 1.7 after these decisions rather than before them, so that the configuration is built once.</w:t>
      </w:r>
    </w:p>
    <w:p>
      <w:pPr>
        <w:spacing w:after="100" w:line="276"/>
        <w:ind w:left="360" w:hanging="180"/>
      </w:pPr>
      <w:r>
        <w:t xml:space="preserve">— The practice library itself. Only its schema is in the package; seeding follows ratification.</w:t>
      </w:r>
    </w:p>
    <w:p>
      <w:pPr>
        <w:pStyle w:val="Heading1"/>
        <w:spacing w:after="200" w:before="360"/>
      </w:pPr>
      <w:r>
        <w:t xml:space="preserve">What happens with your answers</w:t>
      </w:r>
    </w:p>
    <w:p>
      <w:pPr>
        <w:spacing w:after="160" w:line="276"/>
      </w:pPr>
      <w:r>
        <w:t xml:space="preserve">They resolve into a single regeneration pass: the configuration, the three workbooks, and both country reports, followed by a second verification run over the whole set and then the version stamp. The DAR Studio rebuild follows that, which is why the answers to the calibration and binding-logic items matter more than their size suggests — they are the parts that would otherwise have to be built twice.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321"/>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Light" w:cs="Calibri Light" w:eastAsia="Calibri Light" w:hAnsi="Calibri Light"/>
      <w:b/>
      <w:bCs/>
      <w:color w:val="1F5F5B"/>
      <w:sz w:val="32"/>
      <w:szCs w:val="32"/>
    </w:rPr>
  </w:style>
  <w:style w:type="paragraph" w:styleId="Heading2">
    <w:name w:val="Heading 2"/>
    <w:basedOn w:val="Normal"/>
    <w:next w:val="Normal"/>
    <w:qFormat/>
    <w:pPr>
      <w:spacing w:after="140" w:before="260"/>
      <w:outlineLvl w:val="1"/>
    </w:pPr>
    <w:rPr>
      <w:rFonts w:ascii="Calibri Light" w:cs="Calibri Light" w:eastAsia="Calibri Light" w:hAnsi="Calibri Light"/>
      <w:b/>
      <w:bCs/>
      <w:color w:val="1D232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6ca57343df8b1f7eb00545f99988a1b7b7f8dd.png"/><Relationship Id="rId9" Type="http://schemas.openxmlformats.org/officeDocument/2006/relationships/image" Target="media/2a9b60b56536ea45b36f02a48b2ee740f8cce3d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2026-08-20T22:28:44.561Z</dcterms:created>
  <dcterms:modified xsi:type="dcterms:W3CDTF">2026-08-20T22:28:44.565Z</dcterms:modified>
</cp:coreProperties>
</file>

<file path=docProps/custom.xml><?xml version="1.0" encoding="utf-8"?>
<Properties xmlns="http://schemas.openxmlformats.org/officeDocument/2006/custom-properties" xmlns:vt="http://schemas.openxmlformats.org/officeDocument/2006/docPropsVTypes"/>
</file>