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a3005860a39ef139dfca10beadf573ca8c2c4aa"/>
    <w:p>
      <w:pPr>
        <w:pStyle w:val="Heading1"/>
      </w:pPr>
      <w:r>
        <w:t xml:space="preserve">DAMM v1.7 — evidence from two automated runs</w:t>
      </w:r>
    </w:p>
    <w:p>
      <w:pPr>
        <w:pStyle w:val="FirstParagraph"/>
      </w:pPr>
      <w:r>
        <w:t xml:space="preserve">To: Katreyna · From: Randeep Sudan · 24 August 2026 · Digital Agriculture Maturity Model</w:t>
      </w:r>
    </w:p>
    <w:bookmarkStart w:id="9" w:name="what-this-is-and-what-is-being-asked"/>
    <w:p>
      <w:pPr>
        <w:pStyle w:val="Heading2"/>
      </w:pPr>
      <w:r>
        <w:t xml:space="preserve">What this is, and what is being asked</w:t>
      </w:r>
    </w:p>
    <w:p>
      <w:pPr>
        <w:pStyle w:val="FirstParagraph"/>
      </w:pPr>
      <w:r>
        <w:t xml:space="preserve">The package sent on 23 August 2026 carried the instrument and two country assessments</w:t>
      </w:r>
      <w:r>
        <w:t xml:space="preserve"> </w:t>
      </w:r>
      <w:r>
        <w:t xml:space="preserve">produced by hand. This one is smaller and carries something different: what happened</w:t>
      </w:r>
      <w:r>
        <w:t xml:space="preserve"> </w:t>
      </w:r>
      <w:r>
        <w:t xml:space="preserve">when the same instrument was run end to end by machine, on the same two countries, with</w:t>
      </w:r>
      <w:r>
        <w:t xml:space="preserve"> </w:t>
      </w:r>
      <w:r>
        <w:t xml:space="preserve">no person in the loop between the country name and the finished assessment.</w:t>
      </w:r>
    </w:p>
    <w:p>
      <w:pPr>
        <w:pStyle w:val="BodyText"/>
      </w:pPr>
      <w:r>
        <w:t xml:space="preserve">The ask has not changed. It is still the twelve decisions in section 13 of the</w:t>
      </w:r>
      <w:r>
        <w:t xml:space="preserve"> </w:t>
      </w:r>
      <w:r>
        <w:t xml:space="preserve">specification. What this package adds is evidence about four of them, gathered by</w:t>
      </w:r>
      <w:r>
        <w:t xml:space="preserve"> </w:t>
      </w:r>
      <w:r>
        <w:t xml:space="preserve">accident rather than by design, because building the automated pipeline required the</w:t>
      </w:r>
      <w:r>
        <w:t xml:space="preserve"> </w:t>
      </w:r>
      <w:r>
        <w:t xml:space="preserve">machine to apply rules that section 13 leaves open, and the places where it applied them</w:t>
      </w:r>
      <w:r>
        <w:t xml:space="preserve"> </w:t>
      </w:r>
      <w:r>
        <w:t xml:space="preserve">differently from the assessors are visible and countable.</w:t>
      </w:r>
    </w:p>
    <w:p>
      <w:pPr>
        <w:pStyle w:val="BodyText"/>
      </w:pPr>
      <w:r>
        <w:t xml:space="preserve">Nothing here asks for a change to the instrument, and nothing here is a defect report.</w:t>
      </w:r>
      <w:r>
        <w:t xml:space="preserve"> </w:t>
      </w:r>
      <w:r>
        <w:t xml:space="preserve">The automated assessments are not being proposed as replacements for the two you have.</w:t>
      </w:r>
      <w:r>
        <w:t xml:space="preserve"> </w:t>
      </w:r>
      <w:r>
        <w:t xml:space="preserve">They exist to test the pipeline, and the verified assessments were used as the answer</w:t>
      </w:r>
      <w:r>
        <w:t xml:space="preserve"> </w:t>
      </w:r>
      <w:r>
        <w:t xml:space="preserve">key: the pipeline never read them, and the comparison never wrote to them.</w:t>
      </w:r>
    </w:p>
    <w:p>
      <w:pPr>
        <w:pStyle w:val="BodyText"/>
      </w:pPr>
      <w:r>
        <w:t xml:space="preserve">The fourth prohibition stands over all of it. Nothing the machine produced is a claim,</w:t>
      </w:r>
      <w:r>
        <w:t xml:space="preserve"> </w:t>
      </w:r>
      <w:r>
        <w:t xml:space="preserve">and none of it has been shown to anyone outside the team.</w:t>
      </w:r>
    </w:p>
    <w:bookmarkEnd w:id="9"/>
    <w:bookmarkStart w:id="10" w:name="where-to-start"/>
    <w:p>
      <w:pPr>
        <w:pStyle w:val="Heading2"/>
      </w:pPr>
      <w:r>
        <w:t xml:space="preserve">Where to start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This note</w:t>
            </w:r>
          </w:p>
        </w:tc>
        <w:tc>
          <w:tcPr/>
          <w:p>
            <w:pPr>
              <w:pStyle w:val="Compact"/>
            </w:pPr>
            <w:r>
              <w:t xml:space="preserve">Two pages. The ask, and the three findings that bear on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Evidence for the twelve decisions</w:t>
            </w:r>
          </w:p>
        </w:tc>
        <w:tc>
          <w:tcPr/>
          <w:p>
            <w:pPr>
              <w:pStyle w:val="Compact"/>
            </w:pPr>
            <w:r>
              <w:t xml:space="preserve">The substance. Section 2 is the one that matters most.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Appendix</w:t>
            </w:r>
          </w:p>
        </w:tc>
        <w:tc>
          <w:tcPr/>
          <w:p>
            <w:pPr>
              <w:pStyle w:val="Compact"/>
            </w:pPr>
            <w:r>
              <w:t xml:space="preserve">The machine-generated records behind every figure quoted, unedited.</w:t>
            </w:r>
          </w:p>
        </w:tc>
      </w:tr>
    </w:tbl>
    <w:bookmarkEnd w:id="10"/>
    <w:bookmarkStart w:id="11" w:name="the-three-findings-before-the-detail"/>
    <w:p>
      <w:pPr>
        <w:pStyle w:val="Heading2"/>
      </w:pPr>
      <w:r>
        <w:t xml:space="preserve">The three findings, before the detail</w:t>
      </w:r>
    </w:p>
    <w:p>
      <w:pPr>
        <w:pStyle w:val="FirstParagraph"/>
      </w:pPr>
      <w:r>
        <w:rPr>
          <w:b/>
          <w:bCs/>
        </w:rPr>
        <w:t xml:space="preserve">Machine-drafted evidence can now be given a fabrication rate, and it is zero.</w:t>
      </w:r>
      <w:r>
        <w:t xml:space="preserve"> </w:t>
      </w:r>
      <w:r>
        <w:t xml:space="preserve">A</w:t>
      </w:r>
      <w:r>
        <w:t xml:space="preserve"> </w:t>
      </w:r>
      <w:r>
        <w:t xml:space="preserve">thirteen-cell test put five models from three vendors against ten questions whose answers</w:t>
      </w:r>
      <w:r>
        <w:t xml:space="preserve"> </w:t>
      </w:r>
      <w:r>
        <w:t xml:space="preserve">are recorded in your two assessments, and three questions naming statistics those</w:t>
      </w:r>
      <w:r>
        <w:t xml:space="preserve"> </w:t>
      </w:r>
      <w:r>
        <w:t xml:space="preserve">assessments record as data gaps. Four of the five asserted nothing they could not quote</w:t>
      </w:r>
      <w:r>
        <w:t xml:space="preserve"> </w:t>
      </w:r>
      <w:r>
        <w:t xml:space="preserve">from a page they had been given. All five reported all three non-existent statistics as</w:t>
      </w:r>
      <w:r>
        <w:t xml:space="preserve"> </w:t>
      </w:r>
      <w:r>
        <w:t xml:space="preserve">absent, including the one that names rural mobile broadband coverage for Egypt. That is</w:t>
      </w:r>
      <w:r>
        <w:t xml:space="preserve"> </w:t>
      </w:r>
      <w:r>
        <w:t xml:space="preserve">the error that passed an assessor gate and an initial peer review in the Egypt assessment</w:t>
      </w:r>
      <w:r>
        <w:t xml:space="preserve"> </w:t>
      </w:r>
      <w:r>
        <w:t xml:space="preserve">before an audit caught it in August 2026, and no model repeated it.</w:t>
      </w:r>
    </w:p>
    <w:p>
      <w:pPr>
        <w:pStyle w:val="BodyText"/>
      </w:pPr>
      <w:r>
        <w:rPr>
          <w:b/>
          <w:bCs/>
        </w:rPr>
        <w:t xml:space="preserve">The machine’s error runs toward saying too little, not too much.</w:t>
      </w:r>
      <w:r>
        <w:t xml:space="preserve"> </w:t>
      </w:r>
      <w:r>
        <w:t xml:space="preserve">Across both</w:t>
      </w:r>
      <w:r>
        <w:t xml:space="preserve"> </w:t>
      </w:r>
      <w:r>
        <w:t xml:space="preserve">countries the automated pipeline read two rows (Egypt) and four rows (Nigeria) above the</w:t>
      </w:r>
      <w:r>
        <w:t xml:space="preserve"> </w:t>
      </w:r>
      <w:r>
        <w:t xml:space="preserve">level your assessments record, and withheld a level on about twenty rows per country</w:t>
      </w:r>
      <w:r>
        <w:t xml:space="preserve"> </w:t>
      </w:r>
      <w:r>
        <w:t xml:space="preserve">where your assessments set one. That asymmetry is deliberate and it is the safer of the</w:t>
      </w:r>
      <w:r>
        <w:t xml:space="preserve"> </w:t>
      </w:r>
      <w:r>
        <w:t xml:space="preserve">two failures, but it means an automated assessment will look thinner than a hand one, and</w:t>
      </w:r>
      <w:r>
        <w:t xml:space="preserve"> </w:t>
      </w:r>
      <w:r>
        <w:t xml:space="preserve">the thinness is the honest output rather than a fault to be tuned away.</w:t>
      </w:r>
    </w:p>
    <w:p>
      <w:pPr>
        <w:pStyle w:val="BodyText"/>
      </w:pPr>
      <w:r>
        <w:rPr>
          <w:b/>
          <w:bCs/>
        </w:rPr>
        <w:t xml:space="preserve">Almost every disagreement is definitional rather than evidential.</w:t>
      </w:r>
      <w:r>
        <w:t xml:space="preserve"> </w:t>
      </w:r>
      <w:r>
        <w:t xml:space="preserve">Of the six rows</w:t>
      </w:r>
      <w:r>
        <w:t xml:space="preserve"> </w:t>
      </w:r>
      <w:r>
        <w:t xml:space="preserve">where the machine read higher than the assessors, every one turns on which reading of an</w:t>
      </w:r>
      <w:r>
        <w:t xml:space="preserve"> </w:t>
      </w:r>
      <w:r>
        <w:t xml:space="preserve">unratified indicator name is taken. The machine reads a name as written and reads it</w:t>
      </w:r>
      <w:r>
        <w:t xml:space="preserve"> </w:t>
      </w:r>
      <w:r>
        <w:t xml:space="preserve">permissively. The assessors read the same names restrictively. Both readings are</w:t>
      </w:r>
      <w:r>
        <w:t xml:space="preserve"> </w:t>
      </w:r>
      <w:r>
        <w:t xml:space="preserve">defensible, which is what an unratified definition means. This is why section 13.5 has</w:t>
      </w:r>
      <w:r>
        <w:t xml:space="preserve"> </w:t>
      </w:r>
      <w:r>
        <w:t xml:space="preserve">become the binding constraint on everything downstream, and why more engineering will not</w:t>
      </w:r>
      <w:r>
        <w:t xml:space="preserve"> </w:t>
      </w:r>
      <w:r>
        <w:t xml:space="preserve">move it.</w:t>
      </w:r>
    </w:p>
    <w:bookmarkEnd w:id="11"/>
    <w:bookmarkStart w:id="12" w:name="what-a-ruling-releases"/>
    <w:p>
      <w:pPr>
        <w:pStyle w:val="Heading2"/>
      </w:pPr>
      <w:r>
        <w:t xml:space="preserve">What a ruling releases</w:t>
      </w:r>
    </w:p>
    <w:p>
      <w:pPr>
        <w:pStyle w:val="FirstParagraph"/>
      </w:pPr>
      <w:r>
        <w:t xml:space="preserve">The pipeline is built, measured, and idle. A full automated assessment of one country</w:t>
      </w:r>
      <w:r>
        <w:t xml:space="preserve"> </w:t>
      </w:r>
      <w:r>
        <w:t xml:space="preserve">costs about $22 and takes about 40 minutes, against a per-country ceiling of $500 that</w:t>
      </w:r>
      <w:r>
        <w:t xml:space="preserve"> </w:t>
      </w:r>
      <w:r>
        <w:t xml:space="preserve">was set before any of it had been measured. It is not being run on any new country,</w:t>
      </w:r>
      <w:r>
        <w:t xml:space="preserve"> </w:t>
      </w:r>
      <w:r>
        <w:t xml:space="preserve">because researching against unratified definitions would industrialize the exact error</w:t>
      </w:r>
      <w:r>
        <w:t xml:space="preserve"> </w:t>
      </w:r>
      <w:r>
        <w:t xml:space="preserve">described above, at scale and at speed. The rulings in section 13 are what release it.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2026-08-24T12:53:14Z</dcterms:created>
  <dcterms:modified xsi:type="dcterms:W3CDTF">2026-08-24T12:53:14Z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