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evidence-for-the-twelve-decisions"/>
    <w:p>
      <w:pPr>
        <w:pStyle w:val="Heading1"/>
      </w:pPr>
      <w:r>
        <w:t xml:space="preserve">Evidence for the Twelve Decisions</w:t>
      </w:r>
    </w:p>
    <w:p>
      <w:pPr>
        <w:pStyle w:val="FirstParagraph"/>
      </w:pPr>
      <w:r>
        <w:t xml:space="preserve">DAMM v1.7 · 24 August 2026 · Randeep Sudan</w:t>
      </w:r>
    </w:p>
    <w:p>
      <w:r>
        <w:pict>
          <v:rect style="width:0;height:1.5pt" o:hralign="center" o:hrstd="t" o:hr="t"/>
        </w:pict>
      </w:r>
    </w:p>
    <w:bookmarkStart w:id="10" w:name="what-was-run-and-how"/>
    <w:p>
      <w:pPr>
        <w:pStyle w:val="Heading2"/>
      </w:pPr>
      <w:r>
        <w:t xml:space="preserve">1. What Was Run, and How</w:t>
      </w:r>
    </w:p>
    <w:p>
      <w:pPr>
        <w:pStyle w:val="FirstParagraph"/>
      </w:pPr>
      <w:r>
        <w:t xml:space="preserve">Three exercises were carried out between 23 and 24 August 2026, none of which existed</w:t>
      </w:r>
      <w:r>
        <w:t xml:space="preserve"> </w:t>
      </w:r>
      <w:r>
        <w:t xml:space="preserve">when the review package was assembled.</w:t>
      </w:r>
    </w:p>
    <w:p>
      <w:pPr>
        <w:pStyle w:val="BodyText"/>
      </w:pPr>
      <w:r>
        <w:rPr>
          <w:b/>
          <w:bCs/>
        </w:rPr>
        <w:t xml:space="preserve">The vendor audition.</w:t>
      </w:r>
      <w:r>
        <w:t xml:space="preserve"> </w:t>
      </w:r>
      <w:r>
        <w:t xml:space="preserve">Standing decision 4 fixed a method for choosing a research model</w:t>
      </w:r>
      <w:r>
        <w:t xml:space="preserve"> </w:t>
      </w:r>
      <w:r>
        <w:t xml:space="preserve">and the method had never been run. Thirteen cells: ten whose answers are recorded in the</w:t>
      </w:r>
      <w:r>
        <w:t xml:space="preserve"> </w:t>
      </w:r>
      <w:r>
        <w:t xml:space="preserve">Egypt and Nigeria assessments, and three naming statistics those assessments record as</w:t>
      </w:r>
      <w:r>
        <w:t xml:space="preserve"> </w:t>
      </w:r>
      <w:r>
        <w:t xml:space="preserve">data gaps after a documented tier-ordered search. Five models from three vendors were</w:t>
      </w:r>
      <w:r>
        <w:t xml:space="preserve"> </w:t>
      </w:r>
      <w:r>
        <w:t xml:space="preserve">given an identical set of fetched pages for each cell and scored on fabrication rate,</w:t>
      </w:r>
      <w:r>
        <w:t xml:space="preserve"> </w:t>
      </w:r>
      <w:r>
        <w:t xml:space="preserve">tier compliance, and citation resolvability. The exercise cost $8.77 and fetched 120</w:t>
      </w:r>
      <w:r>
        <w:t xml:space="preserve"> </w:t>
      </w:r>
      <w:r>
        <w:t xml:space="preserve">pages.</w:t>
      </w:r>
    </w:p>
    <w:p>
      <w:pPr>
        <w:pStyle w:val="BodyText"/>
      </w:pPr>
      <w:r>
        <w:rPr>
          <w:b/>
          <w:bCs/>
        </w:rPr>
        <w:t xml:space="preserve">Two automated country assessments.</w:t>
      </w:r>
      <w:r>
        <w:t xml:space="preserve"> </w:t>
      </w:r>
      <w:r>
        <w:t xml:space="preserve">The pipeline researches all fifty-seven indicator</w:t>
      </w:r>
      <w:r>
        <w:t xml:space="preserve"> </w:t>
      </w:r>
      <w:r>
        <w:t xml:space="preserve">rows and the two carried candidates for one country, proposes a source and a tier for</w:t>
      </w:r>
      <w:r>
        <w:t xml:space="preserve"> </w:t>
      </w:r>
      <w:r>
        <w:t xml:space="preserve">each, sets a level, and records a rung-by-rung argument including the negative finding</w:t>
      </w:r>
      <w:r>
        <w:t xml:space="preserve"> </w:t>
      </w:r>
      <w:r>
        <w:t xml:space="preserve">for every level below five. It then runs a second review on the rows where being wrong</w:t>
      </w:r>
      <w:r>
        <w:t xml:space="preserve"> </w:t>
      </w:r>
      <w:r>
        <w:t xml:space="preserve">costs the most, using a different vendor, and applies whatever survives. A first pass</w:t>
      </w:r>
      <w:r>
        <w:t xml:space="preserve"> </w:t>
      </w:r>
      <w:r>
        <w:t xml:space="preserve">costs about $15.50 and takes about 25 minutes; the second review costs about $6.20 and</w:t>
      </w:r>
      <w:r>
        <w:t xml:space="preserve"> </w:t>
      </w:r>
      <w:r>
        <w:t xml:space="preserve">takes about 13 minutes. Both countries were assessed for roughly $22 each.</w:t>
      </w:r>
    </w:p>
    <w:p>
      <w:pPr>
        <w:pStyle w:val="BodyText"/>
      </w:pPr>
      <w:r>
        <w:rPr>
          <w:b/>
          <w:bCs/>
        </w:rPr>
        <w:t xml:space="preserve">A comparison against the verified assessments.</w:t>
      </w:r>
      <w:r>
        <w:t xml:space="preserve"> </w:t>
      </w:r>
      <w:r>
        <w:t xml:space="preserve">Every automated row was compared with</w:t>
      </w:r>
      <w:r>
        <w:t xml:space="preserve"> </w:t>
      </w:r>
      <w:r>
        <w:t xml:space="preserve">its counterpart in your assessments. The pipeline did not read those assessments at any</w:t>
      </w:r>
      <w:r>
        <w:t xml:space="preserve"> </w:t>
      </w:r>
      <w:r>
        <w:t xml:space="preserve">point, and the comparison does not write to them.</w:t>
      </w:r>
    </w:p>
    <w:p>
      <w:pPr>
        <w:pStyle w:val="BodyText"/>
      </w:pPr>
      <w:r>
        <w:t xml:space="preserve">It is important to point out what these figures do not establish. Two countries is a</w:t>
      </w:r>
      <w:r>
        <w:t xml:space="preserve"> </w:t>
      </w:r>
      <w:r>
        <w:t xml:space="preserve">small base, one vendor did the first pass in both, and each country was assessed once.</w:t>
      </w:r>
      <w:r>
        <w:t xml:space="preserve"> </w:t>
      </w:r>
      <w:r>
        <w:t xml:space="preserve">Two independent runs of the Egypt first pass agree on 53 of 57 rows, so a difference of</w:t>
      </w:r>
      <w:r>
        <w:t xml:space="preserve"> </w:t>
      </w:r>
      <w:r>
        <w:t xml:space="preserve">one or two rows anywhere below is inside the noise and only larger patterns should be</w:t>
      </w:r>
      <w:r>
        <w:t xml:space="preserve"> </w:t>
      </w:r>
      <w:r>
        <w:t xml:space="preserve">read as findings.</w:t>
      </w:r>
    </w:p>
    <w:bookmarkStart w:id="9" w:name="results-in-summary"/>
    <w:p>
      <w:pPr>
        <w:pStyle w:val="Heading3"/>
      </w:pPr>
      <w:r>
        <w:t xml:space="preserve">Results in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Egypt</w:t>
            </w:r>
          </w:p>
        </w:tc>
        <w:tc>
          <w:tcPr/>
          <w:p>
            <w:pPr>
              <w:pStyle w:val="Compact"/>
            </w:pPr>
            <w:r>
              <w:t xml:space="preserve">Nigeria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Rows at the level your assessment records (of 57)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Prerequisites at the same status (of 12)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Rows read</w:t>
            </w:r>
            <w:r>
              <w:t xml:space="preserve"> </w:t>
            </w:r>
            <w:r>
              <w:rPr>
                <w:b/>
                <w:bCs/>
              </w:rPr>
              <w:t xml:space="preserve">above</w:t>
            </w:r>
            <w:r>
              <w:t xml:space="preserve"> </w:t>
            </w:r>
            <w:r>
              <w:t xml:space="preserve">your assessment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Levels withheld where your assessment set one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Recorded gaps (your assessment)</w:t>
            </w:r>
          </w:p>
        </w:tc>
        <w:tc>
          <w:tcPr/>
          <w:p>
            <w:pPr>
              <w:pStyle w:val="Compact"/>
            </w:pPr>
            <w:r>
              <w:t xml:space="preserve">14 (5)</w:t>
            </w:r>
          </w:p>
        </w:tc>
        <w:tc>
          <w:tcPr/>
          <w:p>
            <w:pPr>
              <w:pStyle w:val="Compact"/>
            </w:pPr>
            <w:r>
              <w:t xml:space="preserve">17 (4)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Cost, both passes</w:t>
            </w:r>
          </w:p>
        </w:tc>
        <w:tc>
          <w:tcPr/>
          <w:p>
            <w:pPr>
              <w:pStyle w:val="Compact"/>
            </w:pPr>
            <w:r>
              <w:t xml:space="preserve">about $22</w:t>
            </w:r>
          </w:p>
        </w:tc>
        <w:tc>
          <w:tcPr/>
          <w:p>
            <w:pPr>
              <w:pStyle w:val="Compact"/>
            </w:pPr>
            <w:r>
              <w:t xml:space="preserve">about $21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indicator-definitions-decision-13.5"/>
    <w:p>
      <w:pPr>
        <w:pStyle w:val="Heading2"/>
      </w:pPr>
      <w:r>
        <w:t xml:space="preserve">2. Indicator Definitions (Decision 13.5)</w:t>
      </w:r>
    </w:p>
    <w:p>
      <w:pPr>
        <w:pStyle w:val="FirstParagraph"/>
      </w:pPr>
      <w:r>
        <w:t xml:space="preserve">Section 13 calls this the largest item, with 44 of 57 rows carrying an open definitional</w:t>
      </w:r>
      <w:r>
        <w:t xml:space="preserve"> </w:t>
      </w:r>
      <w:r>
        <w:t xml:space="preserve">question and 8 of the 12 prerequisites among them. The automated runs give that item a</w:t>
      </w:r>
      <w:r>
        <w:t xml:space="preserve"> </w:t>
      </w:r>
      <w:r>
        <w:t xml:space="preserve">measurable consequence, and it is the finding in this package most worth your time.</w:t>
      </w:r>
    </w:p>
    <w:p>
      <w:pPr>
        <w:pStyle w:val="BodyText"/>
      </w:pPr>
      <w:r>
        <w:t xml:space="preserve">The case for leaving the definitions as they are is real and should be stated first. Each</w:t>
      </w:r>
      <w:r>
        <w:t xml:space="preserve"> </w:t>
      </w:r>
      <w:r>
        <w:t xml:space="preserve">of the 44 questions was raised by the instrument’s own audit rather than by a reader, the</w:t>
      </w:r>
      <w:r>
        <w:t xml:space="preserve"> </w:t>
      </w:r>
      <w:r>
        <w:t xml:space="preserve">proxies chosen are defensible, and the two hand assessments were completed without any</w:t>
      </w:r>
      <w:r>
        <w:t xml:space="preserve"> </w:t>
      </w:r>
      <w:r>
        <w:t xml:space="preserve">of them being resolved. An assessor who knows the sector applies a sensible reading and</w:t>
      </w:r>
      <w:r>
        <w:t xml:space="preserve"> </w:t>
      </w:r>
      <w:r>
        <w:t xml:space="preserve">moves on, and thirty of the forty-four are recorded as a defensible but measurably</w:t>
      </w:r>
      <w:r>
        <w:t xml:space="preserve"> </w:t>
      </w:r>
      <w:r>
        <w:t xml:space="preserve">different proxy rather than as a construct error.</w:t>
      </w:r>
    </w:p>
    <w:p>
      <w:pPr>
        <w:pStyle w:val="BodyText"/>
      </w:pPr>
      <w:r>
        <w:t xml:space="preserve">A machine does not have that judgment, and this is where the cost becomes visible.</w:t>
      </w:r>
      <w:r>
        <w:t xml:space="preserve"> </w:t>
      </w:r>
      <w:r>
        <w:rPr>
          <w:b/>
          <w:bCs/>
        </w:rPr>
        <w:t xml:space="preserve">Every one of the eight rows where the automated pipeline read above your assessment, in</w:t>
      </w:r>
      <w:r>
        <w:rPr>
          <w:b/>
          <w:bCs/>
        </w:rPr>
        <w:t xml:space="preserve"> </w:t>
      </w:r>
      <w:r>
        <w:rPr>
          <w:b/>
          <w:bCs/>
        </w:rPr>
        <w:t xml:space="preserve">both countries, carries an open definitional question, and the instrument’s own audit</w:t>
      </w:r>
      <w:r>
        <w:rPr>
          <w:b/>
          <w:bCs/>
        </w:rPr>
        <w:t xml:space="preserve"> </w:t>
      </w:r>
      <w:r>
        <w:rPr>
          <w:b/>
          <w:bCs/>
        </w:rPr>
        <w:t xml:space="preserve">classifies all eight as construct drift.</w:t>
      </w:r>
      <w:r>
        <w:t xml:space="preserve"> </w:t>
      </w:r>
      <w:r>
        <w:t xml:space="preserve">Not one of them is a case of the machine</w:t>
      </w:r>
      <w:r>
        <w:t xml:space="preserve"> </w:t>
      </w:r>
      <w:r>
        <w:t xml:space="preserve">misreading a source. In each, the machine took the name as written and read it</w:t>
      </w:r>
      <w:r>
        <w:t xml:space="preserve"> </w:t>
      </w:r>
      <w:r>
        <w:t xml:space="preserve">permissively, and the assessors read the same name restrictively.</w:t>
      </w:r>
    </w:p>
    <w:p>
      <w:pPr>
        <w:pStyle w:val="BodyText"/>
      </w:pPr>
      <w:r>
        <w:rPr>
          <w:b/>
          <w:bCs/>
        </w:rPr>
        <w:t xml:space="preserve">Device financing and subsidy schemes (Egypt, 2.11).</w:t>
      </w:r>
      <w:r>
        <w:t xml:space="preserve"> </w:t>
      </w:r>
      <w:r>
        <w:t xml:space="preserve">Your assessment records level 1</w:t>
      </w:r>
      <w:r>
        <w:t xml:space="preserve"> </w:t>
      </w:r>
      <w:r>
        <w:t xml:space="preserve">and states that no government or telecommunications operator scheme targeting low-income</w:t>
      </w:r>
      <w:r>
        <w:t xml:space="preserve"> </w:t>
      </w:r>
      <w:r>
        <w:t xml:space="preserve">or rural users was found. The machine recorded level 3, citing the ProGIG initiative run</w:t>
      </w:r>
      <w:r>
        <w:t xml:space="preserve"> </w:t>
      </w:r>
      <w:r>
        <w:t xml:space="preserve">by Egypt’s National Telecommunication Institute with Nasser Social Bank, which offers</w:t>
      </w:r>
      <w:r>
        <w:t xml:space="preserve"> </w:t>
      </w:r>
      <w:r>
        <w:t xml:space="preserve">soft loans for the purchase of laptops. The name fixes neither a targeting test nor</w:t>
      </w:r>
      <w:r>
        <w:t xml:space="preserve"> </w:t>
      </w:r>
      <w:r>
        <w:t xml:space="preserve">whether a subsidy is required. The assessor applied a targeting test and found nothing;</w:t>
      </w:r>
      <w:r>
        <w:t xml:space="preserve"> </w:t>
      </w:r>
      <w:r>
        <w:t xml:space="preserve">the machine applied none and found something.</w:t>
      </w:r>
    </w:p>
    <w:p>
      <w:pPr>
        <w:pStyle w:val="BodyText"/>
      </w:pPr>
      <w:r>
        <w:rPr>
          <w:b/>
          <w:bCs/>
        </w:rPr>
        <w:t xml:space="preserve">Responsible-AI safeguards, consent and rights (Egypt, 7.12).</w:t>
      </w:r>
      <w:r>
        <w:t xml:space="preserve"> </w:t>
      </w:r>
      <w:r>
        <w:t xml:space="preserve">Your assessment records</w:t>
      </w:r>
      <w:r>
        <w:t xml:space="preserve"> </w:t>
      </w:r>
      <w:r>
        <w:t xml:space="preserve">level 1 and states that no agriculture-specific consent or farmer-data-rights safeguards</w:t>
      </w:r>
      <w:r>
        <w:t xml:space="preserve"> </w:t>
      </w:r>
      <w:r>
        <w:t xml:space="preserve">exist beyond the general regime. The machine recorded level 3, citing the Egyptian</w:t>
      </w:r>
      <w:r>
        <w:t xml:space="preserve"> </w:t>
      </w:r>
      <w:r>
        <w:t xml:space="preserve">Charter for Responsible AI issued by the National Council for Artificial Intelligence in</w:t>
      </w:r>
      <w:r>
        <w:t xml:space="preserve"> </w:t>
      </w:r>
      <w:r>
        <w:t xml:space="preserve">2023. The assessor required the safeguards the name specifies; the machine accepted a</w:t>
      </w:r>
      <w:r>
        <w:t xml:space="preserve"> </w:t>
      </w:r>
      <w:r>
        <w:t xml:space="preserve">general instrument that does not use the words consent or rights.</w:t>
      </w:r>
    </w:p>
    <w:p>
      <w:pPr>
        <w:pStyle w:val="BodyText"/>
      </w:pPr>
      <w:r>
        <w:rPr>
          <w:b/>
          <w:bCs/>
        </w:rPr>
        <w:t xml:space="preserve">Inter-ministerial coordination mechanism (Nigeria, 4.9).</w:t>
      </w:r>
      <w:r>
        <w:t xml:space="preserve"> </w:t>
      </w:r>
      <w:r>
        <w:t xml:space="preserve">Your assessment records</w:t>
      </w:r>
      <w:r>
        <w:t xml:space="preserve"> </w:t>
      </w:r>
      <w:r>
        <w:t xml:space="preserve">level 1. The machine recorded level 3 on a United Nations record of a Nigerian</w:t>
      </w:r>
      <w:r>
        <w:t xml:space="preserve"> </w:t>
      </w:r>
      <w:r>
        <w:t xml:space="preserve">inter-ministerial committee, reading the name as satisfied by a committee that exists and</w:t>
      </w:r>
      <w:r>
        <w:t xml:space="preserve"> </w:t>
      </w:r>
      <w:r>
        <w:t xml:space="preserve">meets. The assessor read it as requiring a mechanism that coordinates.</w:t>
      </w:r>
    </w:p>
    <w:p>
      <w:pPr>
        <w:pStyle w:val="BodyText"/>
      </w:pPr>
      <w:r>
        <w:t xml:space="preserve">The eight are 2.11, 3.8 and 7.12 in Egypt, and 4.9, 6.4, 6.12, 7.2 and 8.12 in Nigeria.</w:t>
      </w:r>
      <w:r>
        <w:t xml:space="preserve"> </w:t>
      </w:r>
      <w:r>
        <w:t xml:space="preserve">Three are set out below.</w:t>
      </w:r>
    </w:p>
    <w:p>
      <w:pPr>
        <w:pStyle w:val="BodyText"/>
      </w:pPr>
      <w:r>
        <w:t xml:space="preserve">The second review does not correct this class of error, and it is worth being clear about</w:t>
      </w:r>
      <w:r>
        <w:t xml:space="preserve"> </w:t>
      </w:r>
      <w:r>
        <w:t xml:space="preserve">why. On Nigeria’s farmer registry (3.3) it did: the first pass recorded level 3 and the</w:t>
      </w:r>
      <w:r>
        <w:t xml:space="preserve"> </w:t>
      </w:r>
      <w:r>
        <w:t xml:space="preserve">review returned it to your level 2, after reading the Ministry’s own description of a</w:t>
      </w:r>
      <w:r>
        <w:t xml:space="preserve"> </w:t>
      </w:r>
      <w:r>
        <w:t xml:space="preserve">November 2025 event as a stakeholder workshop written in prospective language. But 4.9</w:t>
      </w:r>
      <w:r>
        <w:t xml:space="preserve"> </w:t>
      </w:r>
      <w:r>
        <w:t xml:space="preserve">above was created by that same review, which filled a gap the first pass had left. The</w:t>
      </w:r>
      <w:r>
        <w:t xml:space="preserve"> </w:t>
      </w:r>
      <w:r>
        <w:t xml:space="preserve">reviewer reads sources more carefully than the first pass. It reads the same unratified</w:t>
      </w:r>
      <w:r>
        <w:t xml:space="preserve"> </w:t>
      </w:r>
      <w:r>
        <w:t xml:space="preserve">names, and gains nothing on them.</w:t>
      </w:r>
    </w:p>
    <w:p>
      <w:pPr>
        <w:pStyle w:val="BodyText"/>
      </w:pPr>
      <w:r>
        <w:t xml:space="preserve">The pattern is consistent across both countries and points in one direction. A permissive</w:t>
      </w:r>
      <w:r>
        <w:t xml:space="preserve"> </w:t>
      </w:r>
      <w:r>
        <w:t xml:space="preserve">reading of an unratified name produces a higher level, higher levels move prerequisites,</w:t>
      </w:r>
      <w:r>
        <w:t xml:space="preserve"> </w:t>
      </w:r>
      <w:r>
        <w:t xml:space="preserve">and prerequisites move whole columns of the readiness matrix. In this sense the</w:t>
      </w:r>
      <w:r>
        <w:t xml:space="preserve"> </w:t>
      </w:r>
      <w:r>
        <w:t xml:space="preserve">definitions are not a documentation item. They are the mechanism by which an automated</w:t>
      </w:r>
      <w:r>
        <w:t xml:space="preserve"> </w:t>
      </w:r>
      <w:r>
        <w:t xml:space="preserve">assessment becomes either conservative or generous, and at present the model does not</w:t>
      </w:r>
      <w:r>
        <w:t xml:space="preserve"> </w:t>
      </w:r>
      <w:r>
        <w:t xml:space="preserve">specify which.</w:t>
      </w:r>
    </w:p>
    <w:p>
      <w:r>
        <w:pict>
          <v:rect style="width:0;height:1.5pt" o:hralign="center" o:hrstd="t" o:hr="t"/>
        </w:pict>
      </w:r>
    </w:p>
    <w:bookmarkEnd w:id="11"/>
    <w:bookmarkStart w:id="12" w:name="X115d830c461f1011ed50ab870e1c26517c2e5d0"/>
    <w:p>
      <w:pPr>
        <w:pStyle w:val="Heading2"/>
      </w:pPr>
      <w:r>
        <w:t xml:space="preserve">3. The Binding Rules and the Tier Bar (Decisions 13.4 and 13.8)</w:t>
      </w:r>
    </w:p>
    <w:p>
      <w:pPr>
        <w:pStyle w:val="FirstParagraph"/>
      </w:pPr>
      <w:r>
        <w:t xml:space="preserve">One row moved every column of Nigeria’s readiness matrix, and the ruling that would</w:t>
      </w:r>
      <w:r>
        <w:t xml:space="preserve"> </w:t>
      </w:r>
      <w:r>
        <w:t xml:space="preserve">prevent it sits across two of the twelve items.</w:t>
      </w:r>
    </w:p>
    <w:p>
      <w:pPr>
        <w:pStyle w:val="BodyText"/>
      </w:pPr>
      <w:r>
        <w:t xml:space="preserve">Your Nigeria assessment reads Partial on five use-case columns and Blocked on the sixth.</w:t>
      </w:r>
      <w:r>
        <w:t xml:space="preserve"> </w:t>
      </w:r>
      <w:r>
        <w:t xml:space="preserve">The automated assessment reads</w:t>
      </w:r>
      <w:r>
        <w:t xml:space="preserve"> </w:t>
      </w:r>
      <w:r>
        <w:rPr>
          <w:b/>
          <w:bCs/>
        </w:rPr>
        <w:t xml:space="preserve">Unverified on all six</w:t>
      </w:r>
      <w:r>
        <w:t xml:space="preserve">. The cause is a single row: rural</w:t>
      </w:r>
      <w:r>
        <w:t xml:space="preserve"> </w:t>
      </w:r>
      <w:r>
        <w:t xml:space="preserve">mobile broadband coverage (2.1), which your assessment records as Present at level 3 and</w:t>
      </w:r>
      <w:r>
        <w:t xml:space="preserve"> </w:t>
      </w:r>
      <w:r>
        <w:t xml:space="preserve">the machine withheld. Binding rule</w:t>
      </w:r>
      <w:r>
        <w:t xml:space="preserve"> </w:t>
      </w:r>
      <w:r>
        <w:rPr>
          <w:i/>
          <w:iCs/>
        </w:rPr>
        <w:t xml:space="preserve">universal-unverified</w:t>
      </w:r>
      <w:r>
        <w:t xml:space="preserve"> </w:t>
      </w:r>
      <w:r>
        <w:t xml:space="preserve">then returns every column</w:t>
      </w:r>
      <w:r>
        <w:t xml:space="preserve"> </w:t>
      </w:r>
      <w:r>
        <w:t xml:space="preserve">Unverified, on the stated ground that a known blocker outranks an unknown one. The rule</w:t>
      </w:r>
      <w:r>
        <w:t xml:space="preserve"> </w:t>
      </w:r>
      <w:r>
        <w:t xml:space="preserve">did exactly what it says. The question is whether what it says is what you want when the</w:t>
      </w:r>
      <w:r>
        <w:t xml:space="preserve"> </w:t>
      </w:r>
      <w:r>
        <w:t xml:space="preserve">levels are machine-set.</w:t>
      </w:r>
    </w:p>
    <w:p>
      <w:pPr>
        <w:pStyle w:val="BodyText"/>
      </w:pPr>
      <w:r>
        <w:t xml:space="preserve">The reason the machine withheld 2.1 is the more consequential half. Your assessment</w:t>
      </w:r>
      <w:r>
        <w:t xml:space="preserve"> </w:t>
      </w:r>
      <w:r>
        <w:t xml:space="preserve">records rural 4G population coverage at 48 percent for 2024, sourced to GSMA geospatial</w:t>
      </w:r>
      <w:r>
        <w:t xml:space="preserve"> </w:t>
      </w:r>
      <w:r>
        <w:t xml:space="preserve">analysis, at tier 4. The pipeline requires tier 1 to tier 3 quote-verified evidence for a</w:t>
      </w:r>
      <w:r>
        <w:t xml:space="preserve"> </w:t>
      </w:r>
      <w:r>
        <w:t xml:space="preserve">prerequisite, on the ground that a one-level error in a prerequisite propagates to six</w:t>
      </w:r>
      <w:r>
        <w:t xml:space="preserve"> </w:t>
      </w:r>
      <w:r>
        <w:t xml:space="preserve">columns.</w:t>
      </w:r>
      <w:r>
        <w:t xml:space="preserve"> </w:t>
      </w:r>
      <w:r>
        <w:rPr>
          <w:b/>
          <w:bCs/>
        </w:rPr>
        <w:t xml:space="preserve">The automated pipeline therefore could not have reproduced your Nigeria 2.1</w:t>
      </w:r>
      <w:r>
        <w:rPr>
          <w:b/>
          <w:bCs/>
        </w:rPr>
        <w:t xml:space="preserve"> </w:t>
      </w:r>
      <w:r>
        <w:rPr>
          <w:b/>
          <w:bCs/>
        </w:rPr>
        <w:t xml:space="preserve">level at any depth of searching.</w:t>
      </w:r>
      <w:r>
        <w:t xml:space="preserve"> </w:t>
      </w:r>
      <w:r>
        <w:t xml:space="preserve">The bar would have withheld it whatever the machine</w:t>
      </w:r>
      <w:r>
        <w:t xml:space="preserve"> </w:t>
      </w:r>
      <w:r>
        <w:t xml:space="preserve">found, because the only published estimate is modelled and modelled estimates sit at tier</w:t>
      </w:r>
      <w:r>
        <w:t xml:space="preserve"> </w:t>
      </w:r>
      <w:r>
        <w:t xml:space="preserve">4.</w:t>
      </w:r>
    </w:p>
    <w:p>
      <w:pPr>
        <w:pStyle w:val="BodyText"/>
      </w:pPr>
      <w:r>
        <w:t xml:space="preserve">Two readings are available and the choice is yours. Either the bar is right and a</w:t>
      </w:r>
      <w:r>
        <w:t xml:space="preserve"> </w:t>
      </w:r>
      <w:r>
        <w:t xml:space="preserve">universal prerequisite resting on a modelled tier 4 estimate should read Unverified, in</w:t>
      </w:r>
      <w:r>
        <w:t xml:space="preserve"> </w:t>
      </w:r>
      <w:r>
        <w:t xml:space="preserve">which case Nigeria’s matrix reading is a correction rather than a loss. Or the bar is too</w:t>
      </w:r>
      <w:r>
        <w:t xml:space="preserve"> </w:t>
      </w:r>
      <w:r>
        <w:t xml:space="preserve">high for an indicator that no one measures directly, in which case the tier assignment in</w:t>
      </w:r>
      <w:r>
        <w:t xml:space="preserve"> </w:t>
      </w:r>
      <w:r>
        <w:t xml:space="preserve">decision 13.8 needs to say so explicitly, because a general rule that tier 4 cannot carry</w:t>
      </w:r>
      <w:r>
        <w:t xml:space="preserve"> </w:t>
      </w:r>
      <w:r>
        <w:t xml:space="preserve">a prerequisite will keep producing this result in every country where rural coverage is</w:t>
      </w:r>
      <w:r>
        <w:t xml:space="preserve"> </w:t>
      </w:r>
      <w:r>
        <w:t xml:space="preserve">modelled rather than measured. That is most of them.</w:t>
      </w:r>
    </w:p>
    <w:p>
      <w:pPr>
        <w:pStyle w:val="BodyText"/>
      </w:pPr>
      <w:r>
        <w:t xml:space="preserve">Egypt now shows the same machinery driven by a definition rather than by a tier, and it</w:t>
      </w:r>
      <w:r>
        <w:t xml:space="preserve"> </w:t>
      </w:r>
      <w:r>
        <w:t xml:space="preserve">is the sharper of the two cases. Your Egypt assessment reads Blocked on advisory, smart</w:t>
      </w:r>
      <w:r>
        <w:t xml:space="preserve"> </w:t>
      </w:r>
      <w:r>
        <w:t xml:space="preserve">farming, financial services and agricultural intelligence. The automated assessment reads</w:t>
      </w:r>
      <w:r>
        <w:t xml:space="preserve"> </w:t>
      </w:r>
      <w:r>
        <w:rPr>
          <w:b/>
          <w:bCs/>
        </w:rPr>
        <w:t xml:space="preserve">Unverified on all four</w:t>
      </w:r>
      <w:r>
        <w:t xml:space="preserve">. One row accounts for every one of them: 7.12, consent and</w:t>
      </w:r>
      <w:r>
        <w:t xml:space="preserve"> </w:t>
      </w:r>
      <w:r>
        <w:t xml:space="preserve">rights safeguards, which your assessors recorded as</w:t>
      </w:r>
      <w:r>
        <w:t xml:space="preserve"> </w:t>
      </w:r>
      <w:r>
        <w:rPr>
          <w:b/>
          <w:bCs/>
        </w:rPr>
        <w:t xml:space="preserve">Absent</w:t>
      </w:r>
      <w:r>
        <w:t xml:space="preserve"> </w:t>
      </w:r>
      <w:r>
        <w:t xml:space="preserve">and the machine recorded as</w:t>
      </w:r>
      <w:r>
        <w:t xml:space="preserve"> </w:t>
      </w:r>
      <w:r>
        <w:rPr>
          <w:b/>
          <w:bCs/>
        </w:rPr>
        <w:t xml:space="preserve">Present</w:t>
      </w:r>
      <w:r>
        <w:t xml:space="preserve">, on the Egyptian Charter for Responsible AI.</w:t>
      </w:r>
    </w:p>
    <w:p>
      <w:pPr>
        <w:pStyle w:val="BodyText"/>
      </w:pPr>
      <w:r>
        <w:t xml:space="preserve">That is the same disagreement set out in section 2, where it appeared as a single row</w:t>
      </w:r>
      <w:r>
        <w:t xml:space="preserve"> </w:t>
      </w:r>
      <w:r>
        <w:t xml:space="preserve">reading level 3 against your level 1. Under the ruling that 7.12 follows the use of</w:t>
      </w:r>
      <w:r>
        <w:t xml:space="preserve"> </w:t>
      </w:r>
      <w:r>
        <w:t xml:space="preserve">personal or farm-level data rather than the agricultural-intelligence column alone, it is</w:t>
      </w:r>
      <w:r>
        <w:t xml:space="preserve"> </w:t>
      </w:r>
      <w:r>
        <w:t xml:space="preserve">no longer a single row.</w:t>
      </w:r>
      <w:r>
        <w:t xml:space="preserve"> </w:t>
      </w:r>
      <w:r>
        <w:rPr>
          <w:b/>
          <w:bCs/>
        </w:rPr>
        <w:t xml:space="preserve">A permissive reading of one unratified indicator name now moves</w:t>
      </w:r>
      <w:r>
        <w:rPr>
          <w:b/>
          <w:bCs/>
        </w:rPr>
        <w:t xml:space="preserve"> </w:t>
      </w:r>
      <w:r>
        <w:rPr>
          <w:b/>
          <w:bCs/>
        </w:rPr>
        <w:t xml:space="preserve">four columns of the readiness matrix</w:t>
      </w:r>
      <w:r>
        <w:t xml:space="preserve">, and it moves them from a definite finding to an</w:t>
      </w:r>
      <w:r>
        <w:t xml:space="preserve"> </w:t>
      </w:r>
      <w:r>
        <w:t xml:space="preserve">absence of one: your assessment establishes that those services are blocked for want of</w:t>
      </w:r>
      <w:r>
        <w:t xml:space="preserve"> </w:t>
      </w:r>
      <w:r>
        <w:t xml:space="preserve">consent and rights safeguards, and the automated assessment reports that it does not know.</w:t>
      </w:r>
    </w:p>
    <w:p>
      <w:pPr>
        <w:pStyle w:val="BodyText"/>
      </w:pPr>
      <w:r>
        <w:t xml:space="preserve">The two countries therefore fail in different ways and for different reasons. Nigeria’s</w:t>
      </w:r>
      <w:r>
        <w:t xml:space="preserve"> </w:t>
      </w:r>
      <w:r>
        <w:t xml:space="preserve">matrix turns on a tier bar refusing the only published estimate. Egypt’s turns on which</w:t>
      </w:r>
      <w:r>
        <w:t xml:space="preserve"> </w:t>
      </w:r>
      <w:r>
        <w:t xml:space="preserve">reading of an indicator name is taken. Neither is a retrieval failure and neither is a</w:t>
      </w:r>
      <w:r>
        <w:t xml:space="preserve"> </w:t>
      </w:r>
      <w:r>
        <w:t xml:space="preserve">fabrication, and no amount of further engineering addresses either.</w:t>
      </w:r>
    </w:p>
    <w:p>
      <w:r>
        <w:pict>
          <v:rect style="width:0;height:1.5pt" o:hralign="center" o:hrstd="t" o:hr="t"/>
        </w:pict>
      </w:r>
    </w:p>
    <w:bookmarkEnd w:id="12"/>
    <w:bookmarkStart w:id="13" w:name="X0a0f1bcad7dabecaa8f583617adb2d29e3a6a41"/>
    <w:p>
      <w:pPr>
        <w:pStyle w:val="Heading2"/>
      </w:pPr>
      <w:r>
        <w:t xml:space="preserve">4. Quality Control and the Scope of Gate 2 (Decision 13.9)</w:t>
      </w:r>
    </w:p>
    <w:p>
      <w:pPr>
        <w:pStyle w:val="FirstParagraph"/>
      </w:pPr>
      <w:r>
        <w:t xml:space="preserve">Section 14 records an amendment to the QC Protocol: peer review must ask whether the</w:t>
      </w:r>
      <w:r>
        <w:t xml:space="preserve"> </w:t>
      </w:r>
      <w:r>
        <w:t xml:space="preserve">evidence answers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indicator, not only whether the source states the number. The</w:t>
      </w:r>
      <w:r>
        <w:t xml:space="preserve"> </w:t>
      </w:r>
      <w:r>
        <w:t xml:space="preserve">audition provides direct evidence for that amendment, and the evidence is stronger than</w:t>
      </w:r>
      <w:r>
        <w:t xml:space="preserve"> </w:t>
      </w:r>
      <w:r>
        <w:t xml:space="preserve">expected.</w:t>
      </w:r>
    </w:p>
    <w:p>
      <w:pPr>
        <w:pStyle w:val="BodyText"/>
      </w:pPr>
      <w:r>
        <w:t xml:space="preserve">Quote verification, which checks that every recorded value appears verbatim in the page</w:t>
      </w:r>
      <w:r>
        <w:t xml:space="preserve"> </w:t>
      </w:r>
      <w:r>
        <w:t xml:space="preserve">cited, caught invention completely. Across thirteen cells and five models there was one</w:t>
      </w:r>
      <w:r>
        <w:t xml:space="preserve"> </w:t>
      </w:r>
      <w:r>
        <w:t xml:space="preserve">fabricated citation, from a single model, and four of the five models produced none.</w:t>
      </w:r>
    </w:p>
    <w:p>
      <w:pPr>
        <w:pStyle w:val="BodyText"/>
      </w:pPr>
      <w:r>
        <w:t xml:space="preserve">Quote verification did not catch construct substitution at all. On the Nigeria digital ID</w:t>
      </w:r>
      <w:r>
        <w:t xml:space="preserve"> </w:t>
      </w:r>
      <w:r>
        <w:t xml:space="preserve">row, one model recorded 121,191,781, a raw count of National Identification Number</w:t>
      </w:r>
      <w:r>
        <w:t xml:space="preserve"> </w:t>
      </w:r>
      <w:r>
        <w:t xml:space="preserve">enrolments, against an indicator whose name ends in</w:t>
      </w:r>
      <w:r>
        <w:t xml:space="preserve"> </w:t>
      </w:r>
      <w:r>
        <w:t xml:space="preserve">“(%)”</w:t>
      </w:r>
      <w:r>
        <w:t xml:space="preserve">. On the Nigeria mobile money</w:t>
      </w:r>
      <w:r>
        <w:t xml:space="preserve"> </w:t>
      </w:r>
      <w:r>
        <w:t xml:space="preserve">row, the same model recorded 47.1, an unweighted frequency drawn from a thousand-case</w:t>
      </w:r>
      <w:r>
        <w:t xml:space="preserve"> </w:t>
      </w:r>
      <w:r>
        <w:t xml:space="preserve">microdata file, from a page that carries an explicit warning that such counts cannot be</w:t>
      </w:r>
      <w:r>
        <w:t xml:space="preserve"> </w:t>
      </w:r>
      <w:r>
        <w:t xml:space="preserve">interpreted as summary statistics. Both figures were verbatim on the pages cited, and</w:t>
      </w:r>
      <w:r>
        <w:t xml:space="preserve"> </w:t>
      </w:r>
      <w:r>
        <w:t xml:space="preserve">both passed quote verification without difficulty. Four of the five models named the</w:t>
      </w:r>
      <w:r>
        <w:t xml:space="preserve"> </w:t>
      </w:r>
      <w:r>
        <w:t xml:space="preserve">warning and declined to record a value.</w:t>
      </w:r>
    </w:p>
    <w:p>
      <w:pPr>
        <w:pStyle w:val="BodyText"/>
      </w:pPr>
      <w:r>
        <w:t xml:space="preserve">In short, the check that stops fabrication and the check that stops the wrong number</w:t>
      </w:r>
      <w:r>
        <w:t xml:space="preserve"> </w:t>
      </w:r>
      <w:r>
        <w:t xml:space="preserve">being recorded are different checks, and only the second is a construct test. The section</w:t>
      </w:r>
      <w:r>
        <w:t xml:space="preserve"> </w:t>
      </w:r>
      <w:r>
        <w:t xml:space="preserve">14 amendment is what closes that gap, and the audition suggests it should be ratified as</w:t>
      </w:r>
      <w:r>
        <w:t xml:space="preserve"> </w:t>
      </w:r>
      <w:r>
        <w:t xml:space="preserve">written rather than softened.</w:t>
      </w:r>
    </w:p>
    <w:p>
      <w:pPr>
        <w:pStyle w:val="BodyText"/>
      </w:pPr>
      <w:r>
        <w:t xml:space="preserve">One figure bears on the scope of Gate 2. The design work assumed a second review would</w:t>
      </w:r>
      <w:r>
        <w:t xml:space="preserve"> </w:t>
      </w:r>
      <w:r>
        <w:t xml:space="preserve">cover roughly twenty rows. Scoped as intended, to prerequisites, withheld levels, and</w:t>
      </w:r>
      <w:r>
        <w:t xml:space="preserve"> </w:t>
      </w:r>
      <w:r>
        <w:t xml:space="preserve">recorded gaps, it covered 38 rows in Egypt and 36 in Nigeria, because an automated first</w:t>
      </w:r>
      <w:r>
        <w:t xml:space="preserve"> </w:t>
      </w:r>
      <w:r>
        <w:t xml:space="preserve">pass withholds more often than a hand one. It cost $6.35 in Egypt and $5.99 in Nigeria,</w:t>
      </w:r>
      <w:r>
        <w:t xml:space="preserve"> </w:t>
      </w:r>
      <w:r>
        <w:t xml:space="preserve">against an allocation of $75, and changed four levels in the first and five in the second.</w:t>
      </w:r>
      <w:r>
        <w:t xml:space="preserve"> </w:t>
      </w:r>
      <w:r>
        <w:t xml:space="preserve">It is cheap and it earns its place, but its scope is a function of how conservative the</w:t>
      </w:r>
      <w:r>
        <w:t xml:space="preserve"> </w:t>
      </w:r>
      <w:r>
        <w:t xml:space="preserve">first pass is, and that in turn is a function of section 13.5.</w:t>
      </w:r>
    </w:p>
    <w:p>
      <w:r>
        <w:pict>
          <v:rect style="width:0;height:1.5pt" o:hralign="center" o:hrstd="t" o:hr="t"/>
        </w:pict>
      </w:r>
    </w:p>
    <w:bookmarkEnd w:id="13"/>
    <w:bookmarkStart w:id="14" w:name="the-source-tier-lookup-decision-13.8"/>
    <w:p>
      <w:pPr>
        <w:pStyle w:val="Heading2"/>
      </w:pPr>
      <w:r>
        <w:t xml:space="preserve">5. The Source-Tier Lookup (Decision 13.8)</w:t>
      </w:r>
    </w:p>
    <w:p>
      <w:pPr>
        <w:pStyle w:val="FirstParagraph"/>
      </w:pPr>
      <w:r>
        <w:t xml:space="preserve">The starter domain-to-tier lookup in the Source-Tier Protocol has been implemented as</w:t>
      </w:r>
      <w:r>
        <w:t xml:space="preserve"> </w:t>
      </w:r>
      <w:r>
        <w:t xml:space="preserve">code, which means it can now be applied identically to every country and every row rather</w:t>
      </w:r>
      <w:r>
        <w:t xml:space="preserve"> </w:t>
      </w:r>
      <w:r>
        <w:t xml:space="preserve">than remembered. Implementing it surfaced two assignments the written protocol does not</w:t>
      </w:r>
      <w:r>
        <w:t xml:space="preserve"> </w:t>
      </w:r>
      <w:r>
        <w:t xml:space="preserve">resolve, both of which produced wrong answers before they were fixed by hand.</w:t>
      </w:r>
    </w:p>
    <w:p>
      <w:pPr>
        <w:pStyle w:val="BodyText"/>
      </w:pPr>
      <w:r>
        <w:t xml:space="preserve">The first is the World Bank’s own domains. Analytical reports and flagships are published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openknowledge.worldbank.org</w:t>
      </w:r>
      <w:r>
        <w:t xml:space="preserve">, which is a subdomain of the same host that serves the</w:t>
      </w:r>
      <w:r>
        <w:t xml:space="preserve"> </w:t>
      </w:r>
      <w:r>
        <w:t xml:space="preserve">statistical databases. A lookup keyed on the shorter name files a flagship report as an</w:t>
      </w:r>
      <w:r>
        <w:t xml:space="preserve"> </w:t>
      </w:r>
      <w:r>
        <w:t xml:space="preserve">official statistic. The second is the United Nations.</w:t>
      </w:r>
      <w:r>
        <w:t xml:space="preserve"> </w:t>
      </w:r>
      <w:r>
        <w:rPr>
          <w:rStyle w:val="VerbatimChar"/>
        </w:rPr>
        <w:t xml:space="preserve">publicadministration.un.org</w:t>
      </w:r>
      <w:r>
        <w:t xml:space="preserve"> </w:t>
      </w:r>
      <w:r>
        <w:t xml:space="preserve">serves</w:t>
      </w:r>
      <w:r>
        <w:t xml:space="preserve"> </w:t>
      </w:r>
      <w:r>
        <w:t xml:space="preserve">the E-Government Knowledgebase, a statistical database, while</w:t>
      </w:r>
      <w:r>
        <w:t xml:space="preserve"> </w:t>
      </w:r>
      <w:r>
        <w:rPr>
          <w:rStyle w:val="VerbatimChar"/>
        </w:rPr>
        <w:t xml:space="preserve">news.un.org</w:t>
      </w:r>
      <w:r>
        <w:t xml:space="preserve"> </w:t>
      </w:r>
      <w:r>
        <w:t xml:space="preserve">serves the</w:t>
      </w:r>
      <w:r>
        <w:t xml:space="preserve"> </w:t>
      </w:r>
      <w:r>
        <w:t xml:space="preserve">organization’s newswire, and the protocol’s tiers put those four tiers apart.</w:t>
      </w:r>
    </w:p>
    <w:p>
      <w:pPr>
        <w:pStyle w:val="BodyText"/>
      </w:pPr>
      <w:r>
        <w:t xml:space="preserve">Both were resolved provisionally in code, the first as tier 2 and the second as tier 1</w:t>
      </w:r>
      <w:r>
        <w:t xml:space="preserve"> </w:t>
      </w:r>
      <w:r>
        <w:t xml:space="preserve">with the newswire held at tier 5. Ratifying them, together with the two open judgment</w:t>
      </w:r>
      <w:r>
        <w:t xml:space="preserve"> </w:t>
      </w:r>
      <w:r>
        <w:t xml:space="preserve">calls the protocol already flags on national statistical offices with documented quality</w:t>
      </w:r>
      <w:r>
        <w:t xml:space="preserve"> </w:t>
      </w:r>
      <w:r>
        <w:t xml:space="preserve">concerns and on donor project completion reports, would make the lookup deterministic.</w:t>
      </w:r>
      <w:r>
        <w:t xml:space="preserve"> </w:t>
      </w:r>
      <w:r>
        <w:t xml:space="preserve">The practical value of that is not tidiness. A ratified lookup is executable, and an</w:t>
      </w:r>
      <w:r>
        <w:t xml:space="preserve"> </w:t>
      </w:r>
      <w:r>
        <w:t xml:space="preserve">executable lookup applies the same tier to the same publisher in Cairo and in Abuja</w:t>
      </w:r>
      <w:r>
        <w:t xml:space="preserve"> </w:t>
      </w:r>
      <w:r>
        <w:t xml:space="preserve">without an assessor having to remember what was decided last time.</w:t>
      </w:r>
    </w:p>
    <w:p>
      <w:r>
        <w:pict>
          <v:rect style="width:0;height:1.5pt" o:hralign="center" o:hrstd="t" o:hr="t"/>
        </w:pict>
      </w:r>
    </w:p>
    <w:bookmarkEnd w:id="14"/>
    <w:bookmarkStart w:id="15" w:name="where-the-runs-are-silent"/>
    <w:p>
      <w:pPr>
        <w:pStyle w:val="Heading2"/>
      </w:pPr>
      <w:r>
        <w:t xml:space="preserve">6. Where the Runs Are Silent</w:t>
      </w:r>
    </w:p>
    <w:p>
      <w:pPr>
        <w:pStyle w:val="FirstParagraph"/>
      </w:pPr>
      <w:r>
        <w:t xml:space="preserve">Six of the twelve decisions gained no evidence from this work and should be read as</w:t>
      </w:r>
      <w:r>
        <w:t xml:space="preserve"> </w:t>
      </w:r>
      <w:r>
        <w:t xml:space="preserve">untouched by it: band edges (13.1), A1 thresholds (13.6), sub-readings display (13.7),</w:t>
      </w:r>
      <w:r>
        <w:t xml:space="preserve"> </w:t>
      </w:r>
      <w:r>
        <w:t xml:space="preserve">the Practice Library schema (13.10), Bhutan’s exclusion (13.11), and the per-use-case</w:t>
      </w:r>
      <w:r>
        <w:t xml:space="preserve"> </w:t>
      </w:r>
      <w:r>
        <w:t xml:space="preserve">prerequisite mapping (13.3), which the runs applied without testing.</w:t>
      </w:r>
    </w:p>
    <w:p>
      <w:pPr>
        <w:pStyle w:val="BodyText"/>
      </w:pPr>
      <w:r>
        <w:t xml:space="preserve">Two gained something slight. On the A1 candidates (13.2), the machine located Egypt’s</w:t>
      </w:r>
      <w:r>
        <w:t xml:space="preserve"> </w:t>
      </w:r>
      <w:r>
        <w:t xml:space="preserve">irrigation figure at 100 percent of cultivated area against the 94.21 percent your</w:t>
      </w:r>
      <w:r>
        <w:t xml:space="preserve"> </w:t>
      </w:r>
      <w:r>
        <w:t xml:space="preserve">assessment records from AQUASTAT for 2023, and found neither candidate for Nigeria and</w:t>
      </w:r>
      <w:r>
        <w:t xml:space="preserve"> </w:t>
      </w:r>
      <w:r>
        <w:t xml:space="preserve">neither import-dependency figure for either country. Three of the four candidate cells</w:t>
      </w:r>
      <w:r>
        <w:t xml:space="preserve"> </w:t>
      </w:r>
      <w:r>
        <w:t xml:space="preserve">came back empty, so the candidates are not reliably findable. On whether need and outcome indicators belong</w:t>
      </w:r>
      <w:r>
        <w:t xml:space="preserve"> </w:t>
      </w:r>
      <w:r>
        <w:t xml:space="preserve">in a readiness mean (13.12), the automated runs withhold enough levels that use-case means</w:t>
      </w:r>
      <w:r>
        <w:t xml:space="preserve"> </w:t>
      </w:r>
      <w:r>
        <w:t xml:space="preserve">rest on fewer rows than in your assessments, which makes any status driven by the mean</w:t>
      </w:r>
      <w:r>
        <w:t xml:space="preserve"> </w:t>
      </w:r>
      <w:r>
        <w:t xml:space="preserve">rather than by a prerequisite thinner than it looks. Neither observation is strong enough</w:t>
      </w:r>
      <w:r>
        <w:t xml:space="preserve"> </w:t>
      </w:r>
      <w:r>
        <w:t xml:space="preserve">to argue from.</w:t>
      </w:r>
    </w:p>
    <w:p>
      <w:r>
        <w:pict>
          <v:rect style="width:0;height:1.5pt" o:hralign="center" o:hrstd="t" o:hr="t"/>
        </w:pict>
      </w:r>
    </w:p>
    <w:bookmarkEnd w:id="15"/>
    <w:bookmarkStart w:id="16" w:name="what-this-does-not-claim"/>
    <w:p>
      <w:pPr>
        <w:pStyle w:val="Heading2"/>
      </w:pPr>
      <w:r>
        <w:t xml:space="preserve">7. What This Does Not Claim</w:t>
      </w:r>
    </w:p>
    <w:p>
      <w:pPr>
        <w:pStyle w:val="FirstParagraph"/>
      </w:pPr>
      <w:r>
        <w:t xml:space="preserve">The automated assessments are test output. They have not been reviewed, they are not</w:t>
      </w:r>
      <w:r>
        <w:t xml:space="preserve"> </w:t>
      </w:r>
      <w:r>
        <w:t xml:space="preserve">proposed for any use, and they should not be read as second opinions on Egypt or Nigeria.</w:t>
      </w:r>
      <w:r>
        <w:t xml:space="preserve"> </w:t>
      </w:r>
      <w:r>
        <w:t xml:space="preserve">Where they disagree with your assessments the presumption is that your assessments are</w:t>
      </w:r>
      <w:r>
        <w:t xml:space="preserve"> </w:t>
      </w:r>
      <w:r>
        <w:t xml:space="preserve">right, and the value of the disagreement is diagnostic.</w:t>
      </w:r>
    </w:p>
    <w:p>
      <w:pPr>
        <w:pStyle w:val="BodyText"/>
      </w:pPr>
      <w:r>
        <w:t xml:space="preserve">The verified assessments are the best available answer rather than the truth, and the</w:t>
      </w:r>
      <w:r>
        <w:t xml:space="preserve"> </w:t>
      </w:r>
      <w:r>
        <w:t xml:space="preserve">comparison is calibrated against them for want of anything better. The pipeline has not</w:t>
      </w:r>
      <w:r>
        <w:t xml:space="preserve"> </w:t>
      </w:r>
      <w:r>
        <w:t xml:space="preserve">been run on any country outside the two that already have hand assessments, and it will</w:t>
      </w:r>
      <w:r>
        <w:t xml:space="preserve"> </w:t>
      </w:r>
      <w:r>
        <w:t xml:space="preserve">not be until the section 13 rulings land.</w:t>
      </w:r>
    </w:p>
    <w:p>
      <w:pPr>
        <w:pStyle w:val="BodyText"/>
      </w:pPr>
      <w:r>
        <w:t xml:space="preserve">Lastly, it is important to mention that the abstention behaviour described throughout</w:t>
      </w:r>
      <w:r>
        <w:t xml:space="preserve"> </w:t>
      </w:r>
      <w:r>
        <w:t xml:space="preserve">this note is a design choice and not an accident. The pipeline is built to withhold a</w:t>
      </w:r>
      <w:r>
        <w:t xml:space="preserve"> </w:t>
      </w:r>
      <w:r>
        <w:t xml:space="preserve">level rather than to guess one, on the ground that a withheld level is visible and a</w:t>
      </w:r>
      <w:r>
        <w:t xml:space="preserve"> </w:t>
      </w:r>
      <w:r>
        <w:t xml:space="preserve">guessed one is not. Roughly two thirds of the rows that both countries withheld were</w:t>
      </w:r>
      <w:r>
        <w:t xml:space="preserve"> </w:t>
      </w:r>
      <w:r>
        <w:t xml:space="preserve">rows whose evidence the pipeline never reached, rather than rows it read and declined to</w:t>
      </w:r>
      <w:r>
        <w:t xml:space="preserve"> </w:t>
      </w:r>
      <w:r>
        <w:t xml:space="preserve">score. Those are a retrieval problem with named sources and a known fix. They are not an</w:t>
      </w:r>
      <w:r>
        <w:t xml:space="preserve"> </w:t>
      </w:r>
      <w:r>
        <w:t xml:space="preserve">argument for relaxing the rule.</w:t>
      </w:r>
    </w:p>
    <w:p>
      <w:r>
        <w:pict>
          <v:rect style="width:0;height:1.5pt" o:hralign="center" o:hrstd="t" o:hr="t"/>
        </w:pict>
      </w:r>
    </w:p>
    <w:bookmarkEnd w:id="16"/>
    <w:bookmarkStart w:id="17" w:name="the-decision-that-releases-the-rest"/>
    <w:p>
      <w:pPr>
        <w:pStyle w:val="Heading2"/>
      </w:pPr>
      <w:r>
        <w:t xml:space="preserve">8. The Decision That Releases the Rest</w:t>
      </w:r>
    </w:p>
    <w:p>
      <w:pPr>
        <w:pStyle w:val="FirstParagraph"/>
      </w:pPr>
      <w:r>
        <w:t xml:space="preserve">The engineering is finished and measured. What it is waiting on is not more engineering.</w:t>
      </w:r>
    </w:p>
    <w:p>
      <w:pPr>
        <w:pStyle w:val="BodyText"/>
      </w:pPr>
      <w:r>
        <w:t xml:space="preserve">Every automated assessment produced so far rests on 44 indicator definitions that have</w:t>
      </w:r>
      <w:r>
        <w:t xml:space="preserve"> </w:t>
      </w:r>
      <w:r>
        <w:t xml:space="preserve">not been ratified, and every material disagreement between the machine and your assessors</w:t>
      </w:r>
      <w:r>
        <w:t xml:space="preserve"> </w:t>
      </w:r>
      <w:r>
        <w:t xml:space="preserve">comes from that fact rather than from the evidence, the vendors, or the cost. A ruling on</w:t>
      </w:r>
      <w:r>
        <w:t xml:space="preserve"> </w:t>
      </w:r>
      <w:r>
        <w:t xml:space="preserve">section 13.5, taken with the tier assignment in 13.8 and the binding rules in 13.4,</w:t>
      </w:r>
      <w:r>
        <w:t xml:space="preserve"> </w:t>
      </w:r>
      <w:r>
        <w:t xml:space="preserve">determines whether an automated national assessment reads conservatively or generously,</w:t>
      </w:r>
      <w:r>
        <w:t xml:space="preserve"> </w:t>
      </w:r>
      <w:r>
        <w:t xml:space="preserve">and it determines it once for every country the instrument is ever applied to. Extensive</w:t>
      </w:r>
      <w:r>
        <w:t xml:space="preserve"> </w:t>
      </w:r>
      <w:r>
        <w:t xml:space="preserve">commitment at the point of ruling is what converts a working pipeline into one that can</w:t>
      </w:r>
      <w:r>
        <w:t xml:space="preserve"> </w:t>
      </w:r>
      <w:r>
        <w:t xml:space="preserve">be trusted with a country that has no hand assessment to check it against.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2026-08-24T18:36:06Z</dcterms:created>
  <dcterms:modified xsi:type="dcterms:W3CDTF">2026-08-24T18:36:06Z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