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2"/>
          <w:szCs w:val="2"/>
        </w:rPr>
        <w:t xml:space="preserve"/>
      </w:r>
    </w:p>
    <w:p>
      <w:pPr>
        <w:spacing w:after="60"/>
      </w:pPr>
      <w:r>
        <w:rPr>
          <w:rFonts w:ascii="Arial" w:cs="Arial" w:eastAsia="Arial" w:hAnsi="Arial"/>
          <w:b/>
          <w:bCs/>
          <w:color w:val="1F5C3D"/>
          <w:spacing w:val="40"/>
          <w:sz w:val="16"/>
          <w:szCs w:val="16"/>
        </w:rPr>
        <w:t xml:space="preserve">DIGITAL AGRICULTURE ROADMAP · METHODOLOGY</w:t>
      </w:r>
    </w:p>
    <w:p>
      <w:pPr>
        <w:spacing w:after="100"/>
      </w:pPr>
      <w:r>
        <w:rPr>
          <w:rFonts w:ascii="Arial" w:cs="Arial" w:eastAsia="Arial" w:hAnsi="Arial"/>
          <w:color w:val="212B24"/>
          <w:sz w:val="48"/>
          <w:szCs w:val="48"/>
        </w:rPr>
        <w:t xml:space="preserve">The Digital Agriculture Maturity Model</w:t>
      </w:r>
    </w:p>
    <w:p>
      <w:pPr>
        <w:spacing w:after="260"/>
      </w:pPr>
      <w:r>
        <w:rPr>
          <w:rFonts w:ascii="Arial" w:cs="Arial" w:eastAsia="Arial" w:hAnsi="Arial"/>
          <w:i/>
          <w:iCs/>
          <w:color w:val="5A685E"/>
          <w:sz w:val="26"/>
          <w:szCs w:val="26"/>
        </w:rPr>
        <w:t xml:space="preserve">Version 1.5 — a guidebook to the model as implemented</w:t>
      </w:r>
    </w:p>
    <w:p>
      <w:pPr>
        <w:pBdr>
          <w:bottom w:val="single" w:color="DCE1D8" w:sz="6"/>
        </w:pBdr>
        <w:spacing w:after="200" w:before="60"/>
      </w:pPr>
      <w:r>
        <w:rPr>
          <w:rFonts w:ascii="Arial" w:cs="Arial" w:eastAsia="Arial" w:hAnsi="Arial"/>
          <w:sz w:val="2"/>
          <w:szCs w:val="2"/>
        </w:rPr>
        <w:t xml:space="preserve"/>
      </w:r>
    </w:p>
    <w:p>
      <w:pPr>
        <w:spacing w:after="140" w:line="280"/>
      </w:pPr>
      <w:r>
        <w:rPr>
          <w:rFonts w:ascii="Arial" w:cs="Arial" w:eastAsia="Arial" w:hAnsi="Arial"/>
          <w:color w:val="212B24"/>
          <w:sz w:val="22"/>
          <w:szCs w:val="22"/>
        </w:rPr>
        <w:t xml:space="preserve">This guidebook describes the Digital Agriculture Maturity Model (DAMM) exactly as it is implemented in the DAR Studio prototype: what it measures, how a reading becomes a level, how levels become the three read-outs, what the model refuses to do, and how a diagnostic package becomes a draft roadmap.</w:t>
      </w:r>
    </w:p>
    <w:p>
      <w:pPr>
        <w:spacing w:after="140" w:line="280"/>
      </w:pPr>
      <w:r>
        <w:rPr>
          <w:rFonts w:ascii="Arial" w:cs="Arial" w:eastAsia="Arial" w:hAnsi="Arial"/>
          <w:i/>
          <w:iCs/>
          <w:color w:val="5A685E"/>
          <w:sz w:val="21"/>
          <w:szCs w:val="21"/>
        </w:rPr>
        <w:t xml:space="preserve">Every figure in this document is read from the model configuration the software scores against, so the guidebook cannot describe a model different from the one that runs.</w:t>
      </w:r>
    </w:p>
    <w:p>
      <w:pPr>
        <w:spacing w:after="240" w:line="280"/>
      </w:pPr>
      <w:r>
        <w:rPr>
          <w:rFonts w:ascii="Arial" w:cs="Arial" w:eastAsia="Arial" w:hAnsi="Arial"/>
          <w:color w:val="5A685E"/>
          <w:sz w:val="19"/>
          <w:szCs w:val="19"/>
        </w:rPr>
        <w:t xml:space="preserve">August 2026 · Prepared for review · Not an official World Bank document</w:t>
      </w:r>
    </w:p>
    <w:p>
      <w:r>
        <w:br w:type="page"/>
      </w:r>
    </w:p>
    <w:p>
      <w:pPr>
        <w:pStyle w:val="Heading1"/>
        <w:spacing w:after="160" w:before="380"/>
      </w:pPr>
      <w:r>
        <w:rPr>
          <w:rFonts w:ascii="Arial" w:cs="Arial" w:eastAsia="Arial" w:hAnsi="Arial"/>
          <w:b w:val="false"/>
          <w:bCs w:val="false"/>
          <w:color w:val="1F5C3D"/>
          <w:sz w:val="30"/>
          <w:szCs w:val="30"/>
        </w:rPr>
        <w:t xml:space="preserve">Contents</w:t>
      </w:r>
    </w:p>
    <w:p>
      <w:pPr>
        <w:spacing w:after="110"/>
      </w:pPr>
      <w:r>
        <w:rPr>
          <w:rFonts w:ascii="Arial" w:cs="Arial" w:eastAsia="Arial" w:hAnsi="Arial"/>
          <w:b/>
          <w:bCs/>
          <w:color w:val="1F5C3D"/>
          <w:sz w:val="21"/>
          <w:szCs w:val="21"/>
        </w:rPr>
        <w:t xml:space="preserve">1.  </w:t>
      </w:r>
      <w:r>
        <w:rPr>
          <w:rFonts w:ascii="Arial" w:cs="Arial" w:eastAsia="Arial" w:hAnsi="Arial"/>
          <w:color w:val="212B24"/>
          <w:sz w:val="21"/>
          <w:szCs w:val="21"/>
        </w:rPr>
        <w:t xml:space="preserve">What the model is for</w:t>
      </w:r>
    </w:p>
    <w:p>
      <w:pPr>
        <w:spacing w:after="110"/>
      </w:pPr>
      <w:r>
        <w:rPr>
          <w:rFonts w:ascii="Arial" w:cs="Arial" w:eastAsia="Arial" w:hAnsi="Arial"/>
          <w:b/>
          <w:bCs/>
          <w:color w:val="1F5C3D"/>
          <w:sz w:val="21"/>
          <w:szCs w:val="21"/>
        </w:rPr>
        <w:t xml:space="preserve">2.  </w:t>
      </w:r>
      <w:r>
        <w:rPr>
          <w:rFonts w:ascii="Arial" w:cs="Arial" w:eastAsia="Arial" w:hAnsi="Arial"/>
          <w:color w:val="212B24"/>
          <w:sz w:val="21"/>
          <w:szCs w:val="21"/>
        </w:rPr>
        <w:t xml:space="preserve">The model at a glance</w:t>
      </w:r>
    </w:p>
    <w:p>
      <w:pPr>
        <w:spacing w:after="110"/>
      </w:pPr>
      <w:r>
        <w:rPr>
          <w:rFonts w:ascii="Arial" w:cs="Arial" w:eastAsia="Arial" w:hAnsi="Arial"/>
          <w:b/>
          <w:bCs/>
          <w:color w:val="1F5C3D"/>
          <w:sz w:val="21"/>
          <w:szCs w:val="21"/>
        </w:rPr>
        <w:t xml:space="preserve">3.  </w:t>
      </w:r>
      <w:r>
        <w:rPr>
          <w:rFonts w:ascii="Arial" w:cs="Arial" w:eastAsia="Arial" w:hAnsi="Arial"/>
          <w:color w:val="212B24"/>
          <w:sz w:val="21"/>
          <w:szCs w:val="21"/>
        </w:rPr>
        <w:t xml:space="preserve">How a reading becomes a level</w:t>
      </w:r>
    </w:p>
    <w:p>
      <w:pPr>
        <w:spacing w:after="110"/>
      </w:pPr>
      <w:r>
        <w:rPr>
          <w:rFonts w:ascii="Arial" w:cs="Arial" w:eastAsia="Arial" w:hAnsi="Arial"/>
          <w:b/>
          <w:bCs/>
          <w:color w:val="1F5C3D"/>
          <w:sz w:val="21"/>
          <w:szCs w:val="21"/>
        </w:rPr>
        <w:t xml:space="preserve">4.  </w:t>
      </w:r>
      <w:r>
        <w:rPr>
          <w:rFonts w:ascii="Arial" w:cs="Arial" w:eastAsia="Arial" w:hAnsi="Arial"/>
          <w:color w:val="212B24"/>
          <w:sz w:val="21"/>
          <w:szCs w:val="21"/>
        </w:rPr>
        <w:t xml:space="preserve">Evidence quality</w:t>
      </w:r>
    </w:p>
    <w:p>
      <w:pPr>
        <w:spacing w:after="110"/>
      </w:pPr>
      <w:r>
        <w:rPr>
          <w:rFonts w:ascii="Arial" w:cs="Arial" w:eastAsia="Arial" w:hAnsi="Arial"/>
          <w:b/>
          <w:bCs/>
          <w:color w:val="1F5C3D"/>
          <w:sz w:val="21"/>
          <w:szCs w:val="21"/>
        </w:rPr>
        <w:t xml:space="preserve">5.  </w:t>
      </w:r>
      <w:r>
        <w:rPr>
          <w:rFonts w:ascii="Arial" w:cs="Arial" w:eastAsia="Arial" w:hAnsi="Arial"/>
          <w:color w:val="212B24"/>
          <w:sz w:val="21"/>
          <w:szCs w:val="21"/>
        </w:rPr>
        <w:t xml:space="preserve">The three read-outs</w:t>
      </w:r>
    </w:p>
    <w:p>
      <w:pPr>
        <w:spacing w:after="110"/>
      </w:pPr>
      <w:r>
        <w:rPr>
          <w:rFonts w:ascii="Arial" w:cs="Arial" w:eastAsia="Arial" w:hAnsi="Arial"/>
          <w:b/>
          <w:bCs/>
          <w:color w:val="1F5C3D"/>
          <w:sz w:val="21"/>
          <w:szCs w:val="21"/>
        </w:rPr>
        <w:t xml:space="preserve">6.  </w:t>
      </w:r>
      <w:r>
        <w:rPr>
          <w:rFonts w:ascii="Arial" w:cs="Arial" w:eastAsia="Arial" w:hAnsi="Arial"/>
          <w:color w:val="212B24"/>
          <w:sz w:val="21"/>
          <w:szCs w:val="21"/>
        </w:rPr>
        <w:t xml:space="preserve">Core gates and the stage cascade</w:t>
      </w:r>
    </w:p>
    <w:p>
      <w:pPr>
        <w:spacing w:after="110"/>
      </w:pPr>
      <w:r>
        <w:rPr>
          <w:rFonts w:ascii="Arial" w:cs="Arial" w:eastAsia="Arial" w:hAnsi="Arial"/>
          <w:b/>
          <w:bCs/>
          <w:color w:val="1F5C3D"/>
          <w:sz w:val="21"/>
          <w:szCs w:val="21"/>
        </w:rPr>
        <w:t xml:space="preserve">7.  </w:t>
      </w:r>
      <w:r>
        <w:rPr>
          <w:rFonts w:ascii="Arial" w:cs="Arial" w:eastAsia="Arial" w:hAnsi="Arial"/>
          <w:color w:val="212B24"/>
          <w:sz w:val="21"/>
          <w:szCs w:val="21"/>
        </w:rPr>
        <w:t xml:space="preserve">The four-step process</w:t>
      </w:r>
    </w:p>
    <w:p>
      <w:pPr>
        <w:spacing w:after="110"/>
      </w:pPr>
      <w:r>
        <w:rPr>
          <w:rFonts w:ascii="Arial" w:cs="Arial" w:eastAsia="Arial" w:hAnsi="Arial"/>
          <w:b/>
          <w:bCs/>
          <w:color w:val="1F5C3D"/>
          <w:sz w:val="21"/>
          <w:szCs w:val="21"/>
        </w:rPr>
        <w:t xml:space="preserve">8.  </w:t>
      </w:r>
      <w:r>
        <w:rPr>
          <w:rFonts w:ascii="Arial" w:cs="Arial" w:eastAsia="Arial" w:hAnsi="Arial"/>
          <w:color w:val="212B24"/>
          <w:sz w:val="21"/>
          <w:szCs w:val="21"/>
        </w:rPr>
        <w:t xml:space="preserve">The diagnostic package</w:t>
      </w:r>
    </w:p>
    <w:p>
      <w:pPr>
        <w:spacing w:after="110"/>
      </w:pPr>
      <w:r>
        <w:rPr>
          <w:rFonts w:ascii="Arial" w:cs="Arial" w:eastAsia="Arial" w:hAnsi="Arial"/>
          <w:b/>
          <w:bCs/>
          <w:color w:val="1F5C3D"/>
          <w:sz w:val="21"/>
          <w:szCs w:val="21"/>
        </w:rPr>
        <w:t xml:space="preserve">9.  </w:t>
      </w:r>
      <w:r>
        <w:rPr>
          <w:rFonts w:ascii="Arial" w:cs="Arial" w:eastAsia="Arial" w:hAnsi="Arial"/>
          <w:color w:val="212B24"/>
          <w:sz w:val="21"/>
          <w:szCs w:val="21"/>
        </w:rPr>
        <w:t xml:space="preserve">From diagnostic package to draft roadmap</w:t>
      </w:r>
    </w:p>
    <w:p>
      <w:pPr>
        <w:spacing w:after="110"/>
      </w:pPr>
      <w:r>
        <w:rPr>
          <w:rFonts w:ascii="Arial" w:cs="Arial" w:eastAsia="Arial" w:hAnsi="Arial"/>
          <w:b/>
          <w:bCs/>
          <w:color w:val="1F5C3D"/>
          <w:sz w:val="21"/>
          <w:szCs w:val="21"/>
        </w:rPr>
        <w:t xml:space="preserve">     </w:t>
      </w:r>
      <w:r>
        <w:rPr>
          <w:rFonts w:ascii="Arial" w:cs="Arial" w:eastAsia="Arial" w:hAnsi="Arial"/>
          <w:color w:val="212B24"/>
          <w:sz w:val="21"/>
          <w:szCs w:val="21"/>
        </w:rPr>
        <w:t xml:space="preserve">Glossary</w:t>
      </w:r>
    </w:p>
    <w:p>
      <w:r>
        <w:br w:type="page"/>
      </w:r>
    </w:p>
    <w:p>
      <w:pPr>
        <w:pStyle w:val="Heading1"/>
        <w:spacing w:after="160" w:before="380"/>
      </w:pPr>
      <w:r>
        <w:rPr>
          <w:rFonts w:ascii="Arial" w:cs="Arial" w:eastAsia="Arial" w:hAnsi="Arial"/>
          <w:b w:val="false"/>
          <w:bCs w:val="false"/>
          <w:color w:val="1F5C3D"/>
          <w:sz w:val="30"/>
          <w:szCs w:val="30"/>
        </w:rPr>
        <w:t xml:space="preserve">1. What the model is for</w:t>
      </w:r>
    </w:p>
    <w:p>
      <w:pPr>
        <w:spacing w:after="140" w:line="280"/>
      </w:pPr>
      <w:r>
        <w:rPr>
          <w:rFonts w:ascii="Arial" w:cs="Arial" w:eastAsia="Arial" w:hAnsi="Arial"/>
          <w:color w:val="212B24"/>
          <w:sz w:val="21"/>
          <w:szCs w:val="21"/>
        </w:rPr>
        <w:t xml:space="preserve">The DAMM answers one question for a task team: what can public evidence tell us about a country's readiness for digital agriculture, and what can it not tell us? It is a diagnostic instrument. It produces a standardised evidence pack — the diagnostic package — that a Task Team Leader uses as the factual basis for a Digital Agriculture Roadmap.</w:t>
      </w:r>
    </w:p>
    <w:p>
      <w:pPr>
        <w:spacing w:after="140" w:line="280"/>
      </w:pPr>
      <w:r>
        <w:rPr>
          <w:rFonts w:ascii="Arial" w:cs="Arial" w:eastAsia="Arial" w:hAnsi="Arial"/>
          <w:color w:val="212B24"/>
          <w:sz w:val="21"/>
          <w:szCs w:val="21"/>
        </w:rPr>
        <w:t xml:space="preserve">The model is deliberately conservative. Where evidence is thin, it says so and withholds the score rather than computing a confident-looking number from a partial picture. That behaviour is not a limitation to be engineered away; it is the point. A maturity score that overstates is more damaging than one that understates, because it travels into documents that commit money.</w:t>
      </w:r>
    </w:p>
    <w:p>
      <w:pPr>
        <w:pStyle w:val="Heading2"/>
        <w:spacing w:after="120" w:before="280"/>
      </w:pPr>
      <w:r>
        <w:rPr>
          <w:rFonts w:ascii="Arial" w:cs="Arial" w:eastAsia="Arial" w:hAnsi="Arial"/>
          <w:b/>
          <w:bCs/>
          <w:color w:val="212B24"/>
          <w:sz w:val="24"/>
          <w:szCs w:val="24"/>
        </w:rPr>
        <w:t xml:space="preserve">What it is not</w:t>
      </w:r>
    </w:p>
    <w:p>
      <w:pPr>
        <w:spacing w:after="140" w:line="280"/>
      </w:pPr>
      <w:r>
        <w:rPr>
          <w:rFonts w:ascii="Arial" w:cs="Arial" w:eastAsia="Arial" w:hAnsi="Arial"/>
          <w:color w:val="212B24"/>
          <w:sz w:val="21"/>
          <w:szCs w:val="21"/>
        </w:rPr>
        <w:t xml:space="preserve">Four prohibitions are wired into the software, not merely stated in guidance:</w:t>
      </w:r>
    </w:p>
    <w:p>
      <w:pPr>
        <w:pStyle w:val="ListParagraph"/>
        <w:numPr>
          <w:ilvl w:val="0"/>
          <w:numId w:val="2"/>
        </w:numPr>
        <w:spacing w:after="90" w:line="280"/>
      </w:pPr>
      <w:r>
        <w:rPr>
          <w:rFonts w:ascii="Arial" w:cs="Arial" w:eastAsia="Arial" w:hAnsi="Arial"/>
          <w:color w:val="212B24"/>
          <w:sz w:val="21"/>
          <w:szCs w:val="21"/>
        </w:rPr>
        <w:t xml:space="preserve">No cross-country ranking. Bands and stages are diagnostic categories, not league-table positions.</w:t>
      </w:r>
    </w:p>
    <w:p>
      <w:pPr>
        <w:pStyle w:val="ListParagraph"/>
        <w:numPr>
          <w:ilvl w:val="0"/>
          <w:numId w:val="2"/>
        </w:numPr>
        <w:spacing w:after="90" w:line="280"/>
      </w:pPr>
      <w:r>
        <w:rPr>
          <w:rFonts w:ascii="Arial" w:cs="Arial" w:eastAsia="Arial" w:hAnsi="Arial"/>
          <w:color w:val="212B24"/>
          <w:sz w:val="21"/>
          <w:szCs w:val="21"/>
        </w:rPr>
        <w:t xml:space="preserve">No DAMM stage used as a PDO indicator, DLI, or disbursement condition.</w:t>
      </w:r>
    </w:p>
    <w:p>
      <w:pPr>
        <w:pStyle w:val="ListParagraph"/>
        <w:numPr>
          <w:ilvl w:val="0"/>
          <w:numId w:val="2"/>
        </w:numPr>
        <w:spacing w:after="90" w:line="280"/>
      </w:pPr>
      <w:r>
        <w:rPr>
          <w:rFonts w:ascii="Arial" w:cs="Arial" w:eastAsia="Arial" w:hAnsi="Arial"/>
          <w:color w:val="212B24"/>
          <w:sz w:val="21"/>
          <w:szCs w:val="21"/>
        </w:rPr>
        <w:t xml:space="preserve">No automatic financing, procurement, vendor, or technology decisions arising from the diagnostic.</w:t>
      </w:r>
    </w:p>
    <w:p>
      <w:pPr>
        <w:pStyle w:val="ListParagraph"/>
        <w:numPr>
          <w:ilvl w:val="0"/>
          <w:numId w:val="2"/>
        </w:numPr>
        <w:spacing w:after="90" w:line="280"/>
      </w:pPr>
      <w:r>
        <w:rPr>
          <w:rFonts w:ascii="Arial" w:cs="Arial" w:eastAsia="Arial" w:hAnsi="Arial"/>
          <w:color w:val="212B24"/>
          <w:sz w:val="21"/>
          <w:szCs w:val="21"/>
        </w:rPr>
        <w:t xml:space="preserve">No stage claimed publicly before human review by the Task Team Leader and steering committee.</w:t>
      </w:r>
    </w:p>
    <w:p>
      <w:pPr>
        <w:spacing w:after="200" w:line="280"/>
      </w:pPr>
      <w:r>
        <w:rPr>
          <w:rFonts w:ascii="Arial" w:cs="Arial" w:eastAsia="Arial" w:hAnsi="Arial"/>
          <w:color w:val="212B24"/>
          <w:sz w:val="21"/>
          <w:szCs w:val="21"/>
        </w:rPr>
        <w:t xml:space="preserve">The software enforces the fourth by watermarking any stage it computes as provisional and by refusing to present a stage as settled until a human has validated the evidence behind it.</w:t>
      </w:r>
    </w:p>
    <w:p>
      <w:pPr>
        <w:pStyle w:val="Heading1"/>
        <w:spacing w:after="160" w:before="380"/>
      </w:pPr>
      <w:r>
        <w:rPr>
          <w:rFonts w:ascii="Arial" w:cs="Arial" w:eastAsia="Arial" w:hAnsi="Arial"/>
          <w:b w:val="false"/>
          <w:bCs w:val="false"/>
          <w:color w:val="1F5C3D"/>
          <w:sz w:val="30"/>
          <w:szCs w:val="30"/>
        </w:rPr>
        <w:t xml:space="preserve">2. The model at a glance</w:t>
      </w:r>
    </w:p>
    <w:tbl>
      <w:tblPr>
        <w:tblW w:type="dxa" w:w="9360"/>
        <w:tblBorders>
          <w:top w:val="single" w:color="DCE1D8" w:sz="4"/>
          <w:left w:val="none"/>
          <w:bottom w:val="single" w:color="DCE1D8" w:sz="4"/>
          <w:right w:val="none"/>
          <w:insideH w:val="single" w:color="DCE1D8" w:sz="2"/>
          <w:insideV w:val="none"/>
        </w:tblBorders>
      </w:tblPr>
      <w:tblGrid>
        <w:gridCol w:w="2200"/>
        <w:gridCol w:w="1200"/>
        <w:gridCol w:w="5960"/>
      </w:tblGrid>
      <w:tr>
        <w:trPr>
          <w:tblHeader/>
        </w:trPr>
        <w:tc>
          <w:tcPr>
            <w:tcW w:type="dxa" w:w="220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Element</w:t>
            </w:r>
          </w:p>
        </w:tc>
        <w:tc>
          <w:tcPr>
            <w:tcW w:type="dxa" w:w="120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Count</w:t>
            </w:r>
          </w:p>
        </w:tc>
        <w:tc>
          <w:tcPr>
            <w:tcW w:type="dxa" w:w="596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Note</w:t>
            </w:r>
          </w:p>
        </w:tc>
      </w:tr>
      <w:tr>
        <w:tc>
          <w:tcPr>
            <w:tcW w:type="dxa" w:w="22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Indicators</w:t>
            </w:r>
          </w:p>
        </w:tc>
        <w:tc>
          <w:tcPr>
            <w:tcW w:type="dxa" w:w="12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102</w:t>
            </w:r>
          </w:p>
        </w:tc>
        <w:tc>
          <w:tcPr>
            <w:tcW w:type="dxa" w:w="59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Each carries a source, an observation year, a confidence tag and a level</w:t>
            </w:r>
          </w:p>
        </w:tc>
      </w:tr>
      <w:tr>
        <w:tc>
          <w:tcPr>
            <w:tcW w:type="dxa" w:w="22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Pillars</w:t>
            </w:r>
          </w:p>
        </w:tc>
        <w:tc>
          <w:tcPr>
            <w:tcW w:type="dxa" w:w="12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8</w:t>
            </w:r>
          </w:p>
        </w:tc>
        <w:tc>
          <w:tcPr>
            <w:tcW w:type="dxa" w:w="59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Seven scored, plus one context profile that is never aggregated</w:t>
            </w:r>
          </w:p>
        </w:tc>
      </w:tr>
      <w:tr>
        <w:tc>
          <w:tcPr>
            <w:tcW w:type="dxa" w:w="22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Core gates</w:t>
            </w:r>
          </w:p>
        </w:tc>
        <w:tc>
          <w:tcPr>
            <w:tcW w:type="dxa" w:w="12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14</w:t>
            </w:r>
          </w:p>
        </w:tc>
        <w:tc>
          <w:tcPr>
            <w:tcW w:type="dxa" w:w="59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Prerequisites; not tradeable against strength elsewhere</w:t>
            </w:r>
          </w:p>
        </w:tc>
      </w:tr>
      <w:tr>
        <w:tc>
          <w:tcPr>
            <w:tcW w:type="dxa" w:w="22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Read-outs</w:t>
            </w:r>
          </w:p>
        </w:tc>
        <w:tc>
          <w:tcPr>
            <w:tcW w:type="dxa" w:w="12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3</w:t>
            </w:r>
          </w:p>
        </w:tc>
        <w:tc>
          <w:tcPr>
            <w:tcW w:type="dxa" w:w="59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CMS, EMS and OES — never averaged into a single number</w:t>
            </w:r>
          </w:p>
        </w:tc>
      </w:tr>
      <w:tr>
        <w:tc>
          <w:tcPr>
            <w:tcW w:type="dxa" w:w="22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Levels</w:t>
            </w:r>
          </w:p>
        </w:tc>
        <w:tc>
          <w:tcPr>
            <w:tcW w:type="dxa" w:w="12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5</w:t>
            </w:r>
          </w:p>
        </w:tc>
        <w:tc>
          <w:tcPr>
            <w:tcW w:type="dxa" w:w="59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Nascent, Emerging, Established, Advanced, Transformative</w:t>
            </w:r>
          </w:p>
        </w:tc>
      </w:tr>
      <w:tr>
        <w:tc>
          <w:tcPr>
            <w:tcW w:type="dxa" w:w="22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Process steps</w:t>
            </w:r>
          </w:p>
        </w:tc>
        <w:tc>
          <w:tcPr>
            <w:tcW w:type="dxa" w:w="12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4</w:t>
            </w:r>
          </w:p>
        </w:tc>
        <w:tc>
          <w:tcPr>
            <w:tcW w:type="dxa" w:w="59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Populate, score evidence quality, compile package, draft roadmap</w:t>
            </w:r>
          </w:p>
        </w:tc>
      </w:tr>
    </w:tbl>
    <w:p>
      <w:pPr>
        <w:spacing w:after="140" w:line="280"/>
      </w:pPr>
      <w:r>
        <w:rPr>
          <w:rFonts w:ascii="Arial" w:cs="Arial" w:eastAsia="Arial" w:hAnsi="Arial"/>
          <w:color w:val="212B24"/>
          <w:sz w:val="21"/>
          <w:szCs w:val="21"/>
        </w:rPr>
        <w:t xml:space="preserve"/>
      </w:r>
    </w:p>
    <w:p>
      <w:pPr>
        <w:spacing w:after="140" w:line="280"/>
      </w:pPr>
      <w:r>
        <w:rPr>
          <w:rFonts w:ascii="Arial" w:cs="Arial" w:eastAsia="Arial" w:hAnsi="Arial"/>
          <w:color w:val="212B24"/>
          <w:sz w:val="21"/>
          <w:szCs w:val="21"/>
        </w:rPr>
        <w:t xml:space="preserve">Of the 102 indicators, 50 are quantitative thresholds, 44 are qualitative indicators scored against written anchors, and 8 are context profiles that describe the sector without ever entering a maturity score.</w:t>
      </w:r>
    </w:p>
    <w:p>
      <w:pPr>
        <w:pStyle w:val="Heading2"/>
        <w:spacing w:after="120" w:before="280"/>
      </w:pPr>
      <w:r>
        <w:rPr>
          <w:rFonts w:ascii="Arial" w:cs="Arial" w:eastAsia="Arial" w:hAnsi="Arial"/>
          <w:b/>
          <w:bCs/>
          <w:color w:val="212B24"/>
          <w:sz w:val="24"/>
          <w:szCs w:val="24"/>
        </w:rPr>
        <w:t xml:space="preserve">The eight pillars</w:t>
      </w:r>
    </w:p>
    <w:tbl>
      <w:tblPr>
        <w:tblW w:type="dxa" w:w="9360"/>
        <w:tblBorders>
          <w:top w:val="single" w:color="DCE1D8" w:sz="4"/>
          <w:left w:val="none"/>
          <w:bottom w:val="single" w:color="DCE1D8" w:sz="4"/>
          <w:right w:val="none"/>
          <w:insideH w:val="single" w:color="DCE1D8" w:sz="2"/>
          <w:insideV w:val="none"/>
        </w:tblBorders>
      </w:tblPr>
      <w:tblGrid>
        <w:gridCol w:w="800"/>
        <w:gridCol w:w="3200"/>
        <w:gridCol w:w="1500"/>
        <w:gridCol w:w="1000"/>
        <w:gridCol w:w="1500"/>
        <w:gridCol w:w="1360"/>
      </w:tblGrid>
      <w:tr>
        <w:trPr>
          <w:tblHeader/>
        </w:trPr>
        <w:tc>
          <w:tcPr>
            <w:tcW w:type="dxa" w:w="80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Pillar</w:t>
            </w:r>
          </w:p>
        </w:tc>
        <w:tc>
          <w:tcPr>
            <w:tcW w:type="dxa" w:w="320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Name</w:t>
            </w:r>
          </w:p>
        </w:tc>
        <w:tc>
          <w:tcPr>
            <w:tcW w:type="dxa" w:w="150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Role</w:t>
            </w:r>
          </w:p>
        </w:tc>
        <w:tc>
          <w:tcPr>
            <w:tcW w:type="dxa" w:w="100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Weight</w:t>
            </w:r>
          </w:p>
        </w:tc>
        <w:tc>
          <w:tcPr>
            <w:tcW w:type="dxa" w:w="150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Indicators</w:t>
            </w:r>
          </w:p>
        </w:tc>
        <w:tc>
          <w:tcPr>
            <w:tcW w:type="dxa" w:w="136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Gates</w:t>
            </w:r>
          </w:p>
        </w:tc>
      </w:tr>
      <w:tr>
        <w:tc>
          <w:tcPr>
            <w:tcW w:type="dxa" w:w="8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C0</w:t>
            </w:r>
          </w:p>
        </w:tc>
        <w:tc>
          <w:tcPr>
            <w:tcW w:type="dxa" w:w="32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Agricultural context &amp; need</w:t>
            </w:r>
          </w:p>
        </w:tc>
        <w:tc>
          <w:tcPr>
            <w:tcW w:type="dxa" w:w="15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Context</w:t>
            </w:r>
          </w:p>
        </w:tc>
        <w:tc>
          <w:tcPr>
            <w:tcW w:type="dxa" w:w="10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w:t>
            </w:r>
          </w:p>
        </w:tc>
        <w:tc>
          <w:tcPr>
            <w:tcW w:type="dxa" w:w="15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8</w:t>
            </w:r>
          </w:p>
        </w:tc>
        <w:tc>
          <w:tcPr>
            <w:tcW w:type="dxa" w:w="13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w:t>
            </w:r>
          </w:p>
        </w:tc>
      </w:tr>
      <w:tr>
        <w:tc>
          <w:tcPr>
            <w:tcW w:type="dxa" w:w="8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C1</w:t>
            </w:r>
          </w:p>
        </w:tc>
        <w:tc>
          <w:tcPr>
            <w:tcW w:type="dxa" w:w="32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Connectivity &amp; affordable access</w:t>
            </w:r>
          </w:p>
        </w:tc>
        <w:tc>
          <w:tcPr>
            <w:tcW w:type="dxa" w:w="15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Capability</w:t>
            </w:r>
          </w:p>
        </w:tc>
        <w:tc>
          <w:tcPr>
            <w:tcW w:type="dxa" w:w="10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25%</w:t>
            </w:r>
          </w:p>
        </w:tc>
        <w:tc>
          <w:tcPr>
            <w:tcW w:type="dxa" w:w="15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11</w:t>
            </w:r>
          </w:p>
        </w:tc>
        <w:tc>
          <w:tcPr>
            <w:tcW w:type="dxa" w:w="13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3</w:t>
            </w:r>
          </w:p>
        </w:tc>
      </w:tr>
      <w:tr>
        <w:tc>
          <w:tcPr>
            <w:tcW w:type="dxa" w:w="8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C2</w:t>
            </w:r>
          </w:p>
        </w:tc>
        <w:tc>
          <w:tcPr>
            <w:tcW w:type="dxa" w:w="32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Data infrastructure &amp; DPI</w:t>
            </w:r>
          </w:p>
        </w:tc>
        <w:tc>
          <w:tcPr>
            <w:tcW w:type="dxa" w:w="15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Capability</w:t>
            </w:r>
          </w:p>
        </w:tc>
        <w:tc>
          <w:tcPr>
            <w:tcW w:type="dxa" w:w="10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30%</w:t>
            </w:r>
          </w:p>
        </w:tc>
        <w:tc>
          <w:tcPr>
            <w:tcW w:type="dxa" w:w="15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13</w:t>
            </w:r>
          </w:p>
        </w:tc>
        <w:tc>
          <w:tcPr>
            <w:tcW w:type="dxa" w:w="13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2</w:t>
            </w:r>
          </w:p>
        </w:tc>
      </w:tr>
      <w:tr>
        <w:tc>
          <w:tcPr>
            <w:tcW w:type="dxa" w:w="8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C3</w:t>
            </w:r>
          </w:p>
        </w:tc>
        <w:tc>
          <w:tcPr>
            <w:tcW w:type="dxa" w:w="32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Policy, governance &amp; safeguards</w:t>
            </w:r>
          </w:p>
        </w:tc>
        <w:tc>
          <w:tcPr>
            <w:tcW w:type="dxa" w:w="15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Capability</w:t>
            </w:r>
          </w:p>
        </w:tc>
        <w:tc>
          <w:tcPr>
            <w:tcW w:type="dxa" w:w="10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25%</w:t>
            </w:r>
          </w:p>
        </w:tc>
        <w:tc>
          <w:tcPr>
            <w:tcW w:type="dxa" w:w="15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13</w:t>
            </w:r>
          </w:p>
        </w:tc>
        <w:tc>
          <w:tcPr>
            <w:tcW w:type="dxa" w:w="13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4</w:t>
            </w:r>
          </w:p>
        </w:tc>
      </w:tr>
      <w:tr>
        <w:tc>
          <w:tcPr>
            <w:tcW w:type="dxa" w:w="8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C4</w:t>
            </w:r>
          </w:p>
        </w:tc>
        <w:tc>
          <w:tcPr>
            <w:tcW w:type="dxa" w:w="32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Human &amp; institutional capacity</w:t>
            </w:r>
          </w:p>
        </w:tc>
        <w:tc>
          <w:tcPr>
            <w:tcW w:type="dxa" w:w="15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Capability</w:t>
            </w:r>
          </w:p>
        </w:tc>
        <w:tc>
          <w:tcPr>
            <w:tcW w:type="dxa" w:w="10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20%</w:t>
            </w:r>
          </w:p>
        </w:tc>
        <w:tc>
          <w:tcPr>
            <w:tcW w:type="dxa" w:w="15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14</w:t>
            </w:r>
          </w:p>
        </w:tc>
        <w:tc>
          <w:tcPr>
            <w:tcW w:type="dxa" w:w="13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2</w:t>
            </w:r>
          </w:p>
        </w:tc>
      </w:tr>
      <w:tr>
        <w:tc>
          <w:tcPr>
            <w:tcW w:type="dxa" w:w="8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E1</w:t>
            </w:r>
          </w:p>
        </w:tc>
        <w:tc>
          <w:tcPr>
            <w:tcW w:type="dxa" w:w="32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Innovation &amp; private sector</w:t>
            </w:r>
          </w:p>
        </w:tc>
        <w:tc>
          <w:tcPr>
            <w:tcW w:type="dxa" w:w="15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Ecosystem</w:t>
            </w:r>
          </w:p>
        </w:tc>
        <w:tc>
          <w:tcPr>
            <w:tcW w:type="dxa" w:w="10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70%</w:t>
            </w:r>
          </w:p>
        </w:tc>
        <w:tc>
          <w:tcPr>
            <w:tcW w:type="dxa" w:w="15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14</w:t>
            </w:r>
          </w:p>
        </w:tc>
        <w:tc>
          <w:tcPr>
            <w:tcW w:type="dxa" w:w="13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1</w:t>
            </w:r>
          </w:p>
        </w:tc>
      </w:tr>
      <w:tr>
        <w:tc>
          <w:tcPr>
            <w:tcW w:type="dxa" w:w="8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E2</w:t>
            </w:r>
          </w:p>
        </w:tc>
        <w:tc>
          <w:tcPr>
            <w:tcW w:type="dxa" w:w="32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Responsible AI &amp; emerging tech</w:t>
            </w:r>
          </w:p>
        </w:tc>
        <w:tc>
          <w:tcPr>
            <w:tcW w:type="dxa" w:w="15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Ecosystem</w:t>
            </w:r>
          </w:p>
        </w:tc>
        <w:tc>
          <w:tcPr>
            <w:tcW w:type="dxa" w:w="10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30%</w:t>
            </w:r>
          </w:p>
        </w:tc>
        <w:tc>
          <w:tcPr>
            <w:tcW w:type="dxa" w:w="15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12</w:t>
            </w:r>
          </w:p>
        </w:tc>
        <w:tc>
          <w:tcPr>
            <w:tcW w:type="dxa" w:w="13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2</w:t>
            </w:r>
          </w:p>
        </w:tc>
      </w:tr>
      <w:tr>
        <w:tc>
          <w:tcPr>
            <w:tcW w:type="dxa" w:w="8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O1</w:t>
            </w:r>
          </w:p>
        </w:tc>
        <w:tc>
          <w:tcPr>
            <w:tcW w:type="dxa" w:w="32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Inclusion, sustainability &amp; outcomes</w:t>
            </w:r>
          </w:p>
        </w:tc>
        <w:tc>
          <w:tcPr>
            <w:tcW w:type="dxa" w:w="15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Outcome</w:t>
            </w:r>
          </w:p>
        </w:tc>
        <w:tc>
          <w:tcPr>
            <w:tcW w:type="dxa" w:w="10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100%</w:t>
            </w:r>
          </w:p>
        </w:tc>
        <w:tc>
          <w:tcPr>
            <w:tcW w:type="dxa" w:w="15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17</w:t>
            </w:r>
          </w:p>
        </w:tc>
        <w:tc>
          <w:tcPr>
            <w:tcW w:type="dxa" w:w="13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w:t>
            </w:r>
          </w:p>
        </w:tc>
      </w:tr>
    </w:tbl>
    <w:p>
      <w:pPr>
        <w:spacing w:after="140" w:line="280"/>
      </w:pPr>
      <w:r>
        <w:rPr>
          <w:rFonts w:ascii="Arial" w:cs="Arial" w:eastAsia="Arial" w:hAnsi="Arial"/>
          <w:color w:val="212B24"/>
          <w:sz w:val="21"/>
          <w:szCs w:val="21"/>
        </w:rPr>
        <w:t xml:space="preserve"/>
      </w:r>
    </w:p>
    <w:p>
      <w:pPr>
        <w:spacing w:after="140" w:line="280"/>
      </w:pPr>
      <w:r>
        <w:rPr>
          <w:rFonts w:ascii="Arial" w:cs="Arial" w:eastAsia="Arial" w:hAnsi="Arial"/>
          <w:color w:val="212B24"/>
          <w:sz w:val="21"/>
          <w:szCs w:val="21"/>
        </w:rPr>
        <w:t xml:space="preserve">Weights apply within a role family, not across the model. The four capability pillars weight to 1.00 between them, the two ecosystem pillars weight to 1.00 between them, and the single outcome pillar carries the whole of its own read-out. C0 carries no weight at all: it profiles the agricultural sector the roadmap will serve, and interpreting it as digital maturity would be a category error.</w:t>
      </w:r>
    </w:p>
    <w:p>
      <w:r>
        <w:br w:type="page"/>
      </w:r>
    </w:p>
    <w:p>
      <w:pPr>
        <w:pStyle w:val="Heading1"/>
        <w:spacing w:after="160" w:before="380"/>
      </w:pPr>
      <w:r>
        <w:rPr>
          <w:rFonts w:ascii="Arial" w:cs="Arial" w:eastAsia="Arial" w:hAnsi="Arial"/>
          <w:b w:val="false"/>
          <w:bCs w:val="false"/>
          <w:color w:val="1F5C3D"/>
          <w:sz w:val="30"/>
          <w:szCs w:val="30"/>
        </w:rPr>
        <w:t xml:space="preserve">3. How a reading becomes a level</w:t>
      </w:r>
    </w:p>
    <w:p>
      <w:pPr>
        <w:spacing w:after="140" w:line="280"/>
      </w:pPr>
      <w:r>
        <w:rPr>
          <w:rFonts w:ascii="Arial" w:cs="Arial" w:eastAsia="Arial" w:hAnsi="Arial"/>
          <w:color w:val="212B24"/>
          <w:sz w:val="21"/>
          <w:szCs w:val="21"/>
        </w:rPr>
        <w:t xml:space="preserve">Every indicator resolves to a level from 1 to 5, or to nothing at all. There are three routes, and which route applies is a property of the indicator, not a choice made during an assessment.</w:t>
      </w:r>
    </w:p>
    <w:p>
      <w:pPr>
        <w:pStyle w:val="Heading2"/>
        <w:spacing w:after="120" w:before="280"/>
      </w:pPr>
      <w:r>
        <w:rPr>
          <w:rFonts w:ascii="Arial" w:cs="Arial" w:eastAsia="Arial" w:hAnsi="Arial"/>
          <w:b/>
          <w:bCs/>
          <w:color w:val="212B24"/>
          <w:sz w:val="24"/>
          <w:szCs w:val="24"/>
        </w:rPr>
        <w:t xml:space="preserve">Quantitative thresholds</w:t>
      </w:r>
    </w:p>
    <w:p>
      <w:pPr>
        <w:spacing w:after="140" w:line="280"/>
      </w:pPr>
      <w:r>
        <w:rPr>
          <w:rFonts w:ascii="Arial" w:cs="Arial" w:eastAsia="Arial" w:hAnsi="Arial"/>
          <w:color w:val="212B24"/>
          <w:sz w:val="21"/>
          <w:szCs w:val="21"/>
        </w:rPr>
        <w:t xml:space="preserve">50 indicators carry four numeric thresholds. Where the indicator's direction is Higher, a value at or above the level-5 threshold scores 5, at or above level 4 scores 4, and so on; a value below the level-2 threshold scores 1. Where the direction is Lower — a price, a cost, a loss — the comparison reverses. The software never interpolates, converts units, or combines figures to reach a threshold.</w:t>
      </w:r>
    </w:p>
    <w:p>
      <w:pPr>
        <w:pStyle w:val="Heading2"/>
        <w:spacing w:after="120" w:before="280"/>
      </w:pPr>
      <w:r>
        <w:rPr>
          <w:rFonts w:ascii="Arial" w:cs="Arial" w:eastAsia="Arial" w:hAnsi="Arial"/>
          <w:b/>
          <w:bCs/>
          <w:color w:val="212B24"/>
          <w:sz w:val="24"/>
          <w:szCs w:val="24"/>
        </w:rPr>
        <w:t xml:space="preserve">Qualitative indicators</w:t>
      </w:r>
    </w:p>
    <w:p>
      <w:pPr>
        <w:spacing w:after="140" w:line="280"/>
      </w:pPr>
      <w:r>
        <w:rPr>
          <w:rFonts w:ascii="Arial" w:cs="Arial" w:eastAsia="Arial" w:hAnsi="Arial"/>
          <w:color w:val="212B24"/>
          <w:sz w:val="21"/>
          <w:szCs w:val="21"/>
        </w:rPr>
        <w:t xml:space="preserve">44 indicators</w:t>
      </w:r>
      <w:r>
        <w:rPr>
          <w:rFonts w:ascii="Arial" w:cs="Arial" w:eastAsia="Arial" w:hAnsi="Arial"/>
          <w:color w:val="212B24"/>
          <w:sz w:val="21"/>
          <w:szCs w:val="21"/>
        </w:rPr>
        <w:t xml:space="preserve"> have no number to fetch. A national farmer registry, an agricultural data-governance framework, a coordination mechanism — these are assessed against a written paragraph describing what each of the five levels looks like. The assessor reads the anchor text and selects the level the evidence supports.</w:t>
      </w:r>
    </w:p>
    <w:p>
      <w:pPr>
        <w:spacing w:after="140" w:line="280"/>
      </w:pPr>
      <w:r>
        <w:rPr>
          <w:rFonts w:ascii="Arial" w:cs="Arial" w:eastAsia="Arial" w:hAnsi="Arial"/>
          <w:b/>
          <w:bCs/>
          <w:color w:val="212B24"/>
          <w:sz w:val="21"/>
          <w:szCs w:val="21"/>
        </w:rPr>
        <w:t xml:space="preserve">This is the slow half of an assessment and the half that most needs a human. </w:t>
      </w:r>
      <w:r>
        <w:rPr>
          <w:rFonts w:ascii="Arial" w:cs="Arial" w:eastAsia="Arial" w:hAnsi="Arial"/>
          <w:color w:val="212B24"/>
          <w:sz w:val="21"/>
          <w:szCs w:val="21"/>
        </w:rPr>
        <w:t xml:space="preserve">The machine may propose a level from public documents, but a proposal is treated as requiring validation by default: it is recorded, cited, and argued clause-by-clause against the anchor text, and it feeds provisional scores — but it is not a finding until an assessor confirms it. The assessor's level always wins.</w:t>
      </w:r>
    </w:p>
    <w:p>
      <w:pPr>
        <w:pStyle w:val="Heading2"/>
        <w:spacing w:after="120" w:before="280"/>
      </w:pPr>
      <w:r>
        <w:rPr>
          <w:rFonts w:ascii="Arial" w:cs="Arial" w:eastAsia="Arial" w:hAnsi="Arial"/>
          <w:b/>
          <w:bCs/>
          <w:color w:val="212B24"/>
          <w:sz w:val="24"/>
          <w:szCs w:val="24"/>
        </w:rPr>
        <w:t xml:space="preserve">Context profiles</w:t>
      </w:r>
    </w:p>
    <w:p>
      <w:pPr>
        <w:spacing w:after="140" w:line="280"/>
      </w:pPr>
      <w:r>
        <w:rPr>
          <w:rFonts w:ascii="Arial" w:cs="Arial" w:eastAsia="Arial" w:hAnsi="Arial"/>
          <w:color w:val="212B24"/>
          <w:sz w:val="21"/>
          <w:szCs w:val="21"/>
        </w:rPr>
        <w:t xml:space="preserve">8 indicators describe the sector — value added per worker, cereal yield, employment share, post-harvest loss — and are reported without a level. They inform the roadmap's opening chapters and are structurally excluded from every score.</w:t>
      </w:r>
    </w:p>
    <w:p>
      <w:pPr>
        <w:pStyle w:val="Heading2"/>
        <w:spacing w:after="120" w:before="280"/>
      </w:pPr>
      <w:r>
        <w:rPr>
          <w:rFonts w:ascii="Arial" w:cs="Arial" w:eastAsia="Arial" w:hAnsi="Arial"/>
          <w:b/>
          <w:bCs/>
          <w:color w:val="212B24"/>
          <w:sz w:val="24"/>
          <w:szCs w:val="24"/>
        </w:rPr>
        <w:t xml:space="preserve">What every reading carries</w:t>
      </w:r>
    </w:p>
    <w:p>
      <w:pPr>
        <w:spacing w:after="140" w:line="280"/>
      </w:pPr>
      <w:r>
        <w:rPr>
          <w:rFonts w:ascii="Arial" w:cs="Arial" w:eastAsia="Arial" w:hAnsi="Arial"/>
          <w:color w:val="212B24"/>
          <w:sz w:val="21"/>
          <w:szCs w:val="21"/>
        </w:rPr>
        <w:t xml:space="preserve">A reading that lacks any of the following is not admitted to the evidence base:</w:t>
      </w:r>
    </w:p>
    <w:p>
      <w:pPr>
        <w:pStyle w:val="ListParagraph"/>
        <w:numPr>
          <w:ilvl w:val="0"/>
          <w:numId w:val="2"/>
        </w:numPr>
        <w:spacing w:after="90" w:line="280"/>
      </w:pPr>
      <w:r>
        <w:rPr>
          <w:rFonts w:ascii="Arial" w:cs="Arial" w:eastAsia="Arial" w:hAnsi="Arial"/>
          <w:color w:val="212B24"/>
          <w:sz w:val="21"/>
          <w:szCs w:val="21"/>
        </w:rPr>
        <w:t xml:space="preserve">The value — a figure for a quantitative indicator, a narrative statement for a qualitative one.</w:t>
      </w:r>
    </w:p>
    <w:p>
      <w:pPr>
        <w:pStyle w:val="ListParagraph"/>
        <w:numPr>
          <w:ilvl w:val="0"/>
          <w:numId w:val="2"/>
        </w:numPr>
        <w:spacing w:after="90" w:line="280"/>
      </w:pPr>
      <w:r>
        <w:rPr>
          <w:rFonts w:ascii="Arial" w:cs="Arial" w:eastAsia="Arial" w:hAnsi="Arial"/>
          <w:color w:val="212B24"/>
          <w:sz w:val="21"/>
          <w:szCs w:val="21"/>
        </w:rPr>
        <w:t xml:space="preserve">The source, named, with a public URL. A reading without a citable source is capped at the lowest credibility grade and cannot be scored.</w:t>
      </w:r>
    </w:p>
    <w:p>
      <w:pPr>
        <w:pStyle w:val="ListParagraph"/>
        <w:numPr>
          <w:ilvl w:val="0"/>
          <w:numId w:val="2"/>
        </w:numPr>
        <w:spacing w:after="90" w:line="280"/>
      </w:pPr>
      <w:r>
        <w:rPr>
          <w:rFonts w:ascii="Arial" w:cs="Arial" w:eastAsia="Arial" w:hAnsi="Arial"/>
          <w:color w:val="212B24"/>
          <w:sz w:val="21"/>
          <w:szCs w:val="21"/>
        </w:rPr>
        <w:t xml:space="preserve">The observation year, as stated by the source — not the date the assessment was run.</w:t>
      </w:r>
    </w:p>
    <w:p>
      <w:pPr>
        <w:pStyle w:val="ListParagraph"/>
        <w:numPr>
          <w:ilvl w:val="0"/>
          <w:numId w:val="2"/>
        </w:numPr>
        <w:spacing w:after="90" w:line="280"/>
      </w:pPr>
      <w:r>
        <w:rPr>
          <w:rFonts w:ascii="Arial" w:cs="Arial" w:eastAsia="Arial" w:hAnsi="Arial"/>
          <w:color w:val="212B24"/>
          <w:sz w:val="21"/>
          <w:szCs w:val="21"/>
        </w:rPr>
        <w:t xml:space="preserve">A confidence tag: High, Medium, Low, or Data Gap.</w:t>
      </w:r>
    </w:p>
    <w:p>
      <w:pPr>
        <w:pStyle w:val="Heading1"/>
        <w:spacing w:after="160" w:before="380"/>
      </w:pPr>
      <w:r>
        <w:rPr>
          <w:rFonts w:ascii="Arial" w:cs="Arial" w:eastAsia="Arial" w:hAnsi="Arial"/>
          <w:b w:val="false"/>
          <w:bCs w:val="false"/>
          <w:color w:val="1F5C3D"/>
          <w:sz w:val="30"/>
          <w:szCs w:val="30"/>
        </w:rPr>
        <w:t xml:space="preserve">4. Evidence quality</w:t>
      </w:r>
    </w:p>
    <w:p>
      <w:pPr>
        <w:spacing w:after="140" w:line="280"/>
      </w:pPr>
      <w:r>
        <w:rPr>
          <w:rFonts w:ascii="Arial" w:cs="Arial" w:eastAsia="Arial" w:hAnsi="Arial"/>
          <w:color w:val="212B24"/>
          <w:sz w:val="21"/>
          <w:szCs w:val="21"/>
        </w:rPr>
        <w:t xml:space="preserve">The model scores the evidence as well as the country. Five concepts combine into an evidence quality index that travels with every read-out.</w:t>
      </w:r>
    </w:p>
    <w:p>
      <w:pPr>
        <w:pStyle w:val="Heading2"/>
        <w:spacing w:after="120" w:before="280"/>
      </w:pPr>
      <w:r>
        <w:rPr>
          <w:rFonts w:ascii="Arial" w:cs="Arial" w:eastAsia="Arial" w:hAnsi="Arial"/>
          <w:b/>
          <w:bCs/>
          <w:color w:val="212B24"/>
          <w:sz w:val="24"/>
          <w:szCs w:val="24"/>
        </w:rPr>
        <w:t xml:space="preserve">Confidence</w:t>
      </w:r>
    </w:p>
    <w:tbl>
      <w:tblPr>
        <w:tblW w:type="dxa" w:w="9360"/>
        <w:tblBorders>
          <w:top w:val="single" w:color="DCE1D8" w:sz="4"/>
          <w:left w:val="none"/>
          <w:bottom w:val="single" w:color="DCE1D8" w:sz="4"/>
          <w:right w:val="none"/>
          <w:insideH w:val="single" w:color="DCE1D8" w:sz="2"/>
          <w:insideV w:val="none"/>
        </w:tblBorders>
      </w:tblPr>
      <w:tblGrid>
        <w:gridCol w:w="1600"/>
        <w:gridCol w:w="1200"/>
        <w:gridCol w:w="6560"/>
      </w:tblGrid>
      <w:tr>
        <w:trPr>
          <w:tblHeader/>
        </w:trPr>
        <w:tc>
          <w:tcPr>
            <w:tcW w:type="dxa" w:w="160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Tag</w:t>
            </w:r>
          </w:p>
        </w:tc>
        <w:tc>
          <w:tcPr>
            <w:tcW w:type="dxa" w:w="120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Weight</w:t>
            </w:r>
          </w:p>
        </w:tc>
        <w:tc>
          <w:tcPr>
            <w:tcW w:type="dxa" w:w="656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Meaning</w:t>
            </w:r>
          </w:p>
        </w:tc>
      </w:tr>
      <w:tr>
        <w:tc>
          <w:tcPr>
            <w:tcW w:type="dxa" w:w="16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High</w:t>
            </w:r>
          </w:p>
        </w:tc>
        <w:tc>
          <w:tcPr>
            <w:tcW w:type="dxa" w:w="12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1</w:t>
            </w:r>
          </w:p>
        </w:tc>
        <w:tc>
          <w:tcPr>
            <w:tcW w:type="dxa" w:w="65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Official source, exact definition match, current</w:t>
            </w:r>
          </w:p>
        </w:tc>
      </w:tr>
      <w:tr>
        <w:tc>
          <w:tcPr>
            <w:tcW w:type="dxa" w:w="16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Medium</w:t>
            </w:r>
          </w:p>
        </w:tc>
        <w:tc>
          <w:tcPr>
            <w:tcW w:type="dxa" w:w="12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0.6</w:t>
            </w:r>
          </w:p>
        </w:tc>
        <w:tc>
          <w:tcPr>
            <w:tcW w:type="dxa" w:w="65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Official source with a documented proxy or a minor definitional gap</w:t>
            </w:r>
          </w:p>
        </w:tc>
      </w:tr>
      <w:tr>
        <w:tc>
          <w:tcPr>
            <w:tcW w:type="dxa" w:w="16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Low</w:t>
            </w:r>
          </w:p>
        </w:tc>
        <w:tc>
          <w:tcPr>
            <w:tcW w:type="dxa" w:w="12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0.3</w:t>
            </w:r>
          </w:p>
        </w:tc>
        <w:tc>
          <w:tcPr>
            <w:tcW w:type="dxa" w:w="65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Estimated, indirect, or from a non-official source</w:t>
            </w:r>
          </w:p>
        </w:tc>
      </w:tr>
      <w:tr>
        <w:tc>
          <w:tcPr>
            <w:tcW w:type="dxa" w:w="16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Data Gap</w:t>
            </w:r>
          </w:p>
        </w:tc>
        <w:tc>
          <w:tcPr>
            <w:tcW w:type="dxa" w:w="12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0</w:t>
            </w:r>
          </w:p>
        </w:tc>
        <w:tc>
          <w:tcPr>
            <w:tcW w:type="dxa" w:w="65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Recorded as an explicit gap and weighted zero — a gap that has been looked for and named, not a blank</w:t>
            </w:r>
          </w:p>
        </w:tc>
      </w:tr>
    </w:tbl>
    <w:p>
      <w:pPr>
        <w:spacing w:after="140" w:line="280"/>
      </w:pPr>
      <w:r>
        <w:rPr>
          <w:rFonts w:ascii="Arial" w:cs="Arial" w:eastAsia="Arial" w:hAnsi="Arial"/>
          <w:color w:val="212B24"/>
          <w:sz w:val="21"/>
          <w:szCs w:val="21"/>
        </w:rPr>
        <w:t xml:space="preserve"/>
      </w:r>
    </w:p>
    <w:p>
      <w:pPr>
        <w:pStyle w:val="Heading2"/>
        <w:spacing w:after="120" w:before="280"/>
      </w:pPr>
      <w:r>
        <w:rPr>
          <w:rFonts w:ascii="Arial" w:cs="Arial" w:eastAsia="Arial" w:hAnsi="Arial"/>
          <w:b/>
          <w:bCs/>
          <w:color w:val="212B24"/>
          <w:sz w:val="24"/>
          <w:szCs w:val="24"/>
        </w:rPr>
        <w:t xml:space="preserve">Staleness</w:t>
      </w:r>
    </w:p>
    <w:p>
      <w:pPr>
        <w:spacing w:after="140" w:line="280"/>
      </w:pPr>
      <w:r>
        <w:rPr>
          <w:rFonts w:ascii="Arial" w:cs="Arial" w:eastAsia="Arial" w:hAnsi="Arial"/>
          <w:color w:val="212B24"/>
          <w:sz w:val="21"/>
          <w:szCs w:val="21"/>
        </w:rPr>
        <w:t xml:space="preserve">Each indicator carries a maximum age — 63 indicators allow two years and 39 allow three. A reading older than its limit is flagged stale automatically. Stale readings still count towards coverage, but they populate the refresh list that a task team works through before finalising a roadmap.</w:t>
      </w:r>
    </w:p>
    <w:p>
      <w:pPr>
        <w:pStyle w:val="Heading2"/>
        <w:spacing w:after="120" w:before="280"/>
      </w:pPr>
      <w:r>
        <w:rPr>
          <w:rFonts w:ascii="Arial" w:cs="Arial" w:eastAsia="Arial" w:hAnsi="Arial"/>
          <w:b/>
          <w:bCs/>
          <w:color w:val="212B24"/>
          <w:sz w:val="24"/>
          <w:szCs w:val="24"/>
        </w:rPr>
        <w:t xml:space="preserve">Coverage, and the refusal to compute</w:t>
      </w:r>
    </w:p>
    <w:p>
      <w:pPr>
        <w:spacing w:after="140" w:line="280"/>
      </w:pPr>
      <w:r>
        <w:rPr>
          <w:rFonts w:ascii="Arial" w:cs="Arial" w:eastAsia="Arial" w:hAnsi="Arial"/>
          <w:color w:val="212B24"/>
          <w:sz w:val="21"/>
          <w:szCs w:val="21"/>
        </w:rPr>
        <w:t xml:space="preserve">Coverage is the share of a pillar's indicators that carry a level. Below the coverage gate, the pillar does not receive a low score — it reports Not rated. The distinction matters: a low score is a finding about the country, while Not rated is a finding about the evidence.</w:t>
      </w:r>
    </w:p>
    <w:tbl>
      <w:tblPr>
        <w:tblW w:type="dxa" w:w="9360"/>
        <w:tblBorders>
          <w:top w:val="single" w:color="DCE1D8" w:sz="4"/>
          <w:left w:val="none"/>
          <w:bottom w:val="single" w:color="DCE1D8" w:sz="4"/>
          <w:right w:val="none"/>
          <w:insideH w:val="single" w:color="DCE1D8" w:sz="2"/>
          <w:insideV w:val="none"/>
        </w:tblBorders>
      </w:tblPr>
      <w:tblGrid>
        <w:gridCol w:w="3000"/>
        <w:gridCol w:w="1200"/>
        <w:gridCol w:w="5160"/>
      </w:tblGrid>
      <w:tr>
        <w:trPr>
          <w:tblHeader/>
        </w:trPr>
        <w:tc>
          <w:tcPr>
            <w:tcW w:type="dxa" w:w="300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Gate</w:t>
            </w:r>
          </w:p>
        </w:tc>
        <w:tc>
          <w:tcPr>
            <w:tcW w:type="dxa" w:w="120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Threshold</w:t>
            </w:r>
          </w:p>
        </w:tc>
        <w:tc>
          <w:tcPr>
            <w:tcW w:type="dxa" w:w="516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What it governs</w:t>
            </w:r>
          </w:p>
        </w:tc>
      </w:tr>
      <w:tr>
        <w:tc>
          <w:tcPr>
            <w:tcW w:type="dxa" w:w="30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pillar_min</w:t>
            </w:r>
          </w:p>
        </w:tc>
        <w:tc>
          <w:tcPr>
            <w:tcW w:type="dxa" w:w="12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60%</w:t>
            </w:r>
          </w:p>
        </w:tc>
        <w:tc>
          <w:tcPr>
            <w:tcW w:type="dxa" w:w="51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A pillar reads Not rated below this share of indicators levelled</w:t>
            </w:r>
          </w:p>
        </w:tc>
      </w:tr>
      <w:tr>
        <w:tc>
          <w:tcPr>
            <w:tcW w:type="dxa" w:w="30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cms_min</w:t>
            </w:r>
          </w:p>
        </w:tc>
        <w:tc>
          <w:tcPr>
            <w:tcW w:type="dxa" w:w="12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70%</w:t>
            </w:r>
          </w:p>
        </w:tc>
        <w:tc>
          <w:tcPr>
            <w:tcW w:type="dxa" w:w="51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Capability coverage required before any overall stage is issued</w:t>
            </w:r>
          </w:p>
        </w:tc>
      </w:tr>
      <w:tr>
        <w:tc>
          <w:tcPr>
            <w:tcW w:type="dxa" w:w="30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ems_min</w:t>
            </w:r>
          </w:p>
        </w:tc>
        <w:tc>
          <w:tcPr>
            <w:tcW w:type="dxa" w:w="12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60%</w:t>
            </w:r>
          </w:p>
        </w:tc>
        <w:tc>
          <w:tcPr>
            <w:tcW w:type="dxa" w:w="51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Ecosystem coverage required before EMS is reported</w:t>
            </w:r>
          </w:p>
        </w:tc>
      </w:tr>
      <w:tr>
        <w:tc>
          <w:tcPr>
            <w:tcW w:type="dxa" w:w="30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evidence_adequacy_min</w:t>
            </w:r>
          </w:p>
        </w:tc>
        <w:tc>
          <w:tcPr>
            <w:tcW w:type="dxa" w:w="12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0.5</w:t>
            </w:r>
          </w:p>
        </w:tc>
        <w:tc>
          <w:tcPr>
            <w:tcW w:type="dxa" w:w="51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Minimum weighted adequacy for a read-out to stand</w:t>
            </w:r>
          </w:p>
        </w:tc>
      </w:tr>
    </w:tbl>
    <w:p>
      <w:pPr>
        <w:spacing w:after="140" w:line="280"/>
      </w:pPr>
      <w:r>
        <w:rPr>
          <w:rFonts w:ascii="Arial" w:cs="Arial" w:eastAsia="Arial" w:hAnsi="Arial"/>
          <w:color w:val="212B24"/>
          <w:sz w:val="21"/>
          <w:szCs w:val="21"/>
        </w:rPr>
        <w:t xml:space="preserve"/>
      </w:r>
    </w:p>
    <w:p>
      <w:pPr>
        <w:spacing w:after="140" w:line="280"/>
      </w:pPr>
      <w:r>
        <w:rPr>
          <w:rFonts w:ascii="Arial" w:cs="Arial" w:eastAsia="Arial" w:hAnsi="Arial"/>
          <w:color w:val="212B24"/>
          <w:sz w:val="21"/>
          <w:szCs w:val="21"/>
        </w:rPr>
        <w:t xml:space="preserve">Two lists fall out of these checks and are the practical output for a task team. The refresh list gathers every stale or low-confidence reading, and drives desk research and mission planning. The verify list gathers every data gap and every unmeasured core gate, and must be closed before a roadmap is finalised.</w:t>
      </w:r>
    </w:p>
    <w:p>
      <w:r>
        <w:br w:type="page"/>
      </w:r>
    </w:p>
    <w:p>
      <w:pPr>
        <w:pStyle w:val="Heading1"/>
        <w:spacing w:after="160" w:before="380"/>
      </w:pPr>
      <w:r>
        <w:rPr>
          <w:rFonts w:ascii="Arial" w:cs="Arial" w:eastAsia="Arial" w:hAnsi="Arial"/>
          <w:b w:val="false"/>
          <w:bCs w:val="false"/>
          <w:color w:val="1F5C3D"/>
          <w:sz w:val="30"/>
          <w:szCs w:val="30"/>
        </w:rPr>
        <w:t xml:space="preserve">5. The three read-outs</w:t>
      </w:r>
    </w:p>
    <w:p>
      <w:pPr>
        <w:spacing w:after="140" w:line="280"/>
      </w:pPr>
      <w:r>
        <w:rPr>
          <w:rFonts w:ascii="Arial" w:cs="Arial" w:eastAsia="Arial" w:hAnsi="Arial"/>
          <w:color w:val="212B24"/>
          <w:sz w:val="21"/>
          <w:szCs w:val="21"/>
        </w:rPr>
        <w:t xml:space="preserve">The model produces three scores on the 1–5 scale and refuses to average them together. A country can build systems without yet moving outcomes; averaging would hide exactly that.</w:t>
      </w:r>
    </w:p>
    <w:tbl>
      <w:tblPr>
        <w:tblW w:type="dxa" w:w="9360"/>
        <w:tblBorders>
          <w:top w:val="single" w:color="DCE1D8" w:sz="4"/>
          <w:left w:val="none"/>
          <w:bottom w:val="single" w:color="DCE1D8" w:sz="4"/>
          <w:right w:val="none"/>
          <w:insideH w:val="single" w:color="DCE1D8" w:sz="2"/>
          <w:insideV w:val="none"/>
        </w:tblBorders>
      </w:tblPr>
      <w:tblGrid>
        <w:gridCol w:w="1200"/>
        <w:gridCol w:w="2600"/>
        <w:gridCol w:w="5560"/>
      </w:tblGrid>
      <w:tr>
        <w:trPr>
          <w:tblHeader/>
        </w:trPr>
        <w:tc>
          <w:tcPr>
            <w:tcW w:type="dxa" w:w="120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Read-out</w:t>
            </w:r>
          </w:p>
        </w:tc>
        <w:tc>
          <w:tcPr>
            <w:tcW w:type="dxa" w:w="260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Full name</w:t>
            </w:r>
          </w:p>
        </w:tc>
        <w:tc>
          <w:tcPr>
            <w:tcW w:type="dxa" w:w="556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Composition</w:t>
            </w:r>
          </w:p>
        </w:tc>
      </w:tr>
      <w:tr>
        <w:tc>
          <w:tcPr>
            <w:tcW w:type="dxa" w:w="12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CMS</w:t>
            </w:r>
          </w:p>
        </w:tc>
        <w:tc>
          <w:tcPr>
            <w:tcW w:type="dxa" w:w="26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Capability Maturity Score</w:t>
            </w:r>
          </w:p>
        </w:tc>
        <w:tc>
          <w:tcPr>
            <w:tcW w:type="dxa" w:w="55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The four capability pillars, weighted. Government's own capability.</w:t>
            </w:r>
          </w:p>
        </w:tc>
      </w:tr>
      <w:tr>
        <w:tc>
          <w:tcPr>
            <w:tcW w:type="dxa" w:w="12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EMS</w:t>
            </w:r>
          </w:p>
        </w:tc>
        <w:tc>
          <w:tcPr>
            <w:tcW w:type="dxa" w:w="26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Ecosystem Maturity Score</w:t>
            </w:r>
          </w:p>
        </w:tc>
        <w:tc>
          <w:tcPr>
            <w:tcW w:type="dxa" w:w="55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The two ecosystem pillars, weighted. The market and innovation environment.</w:t>
            </w:r>
          </w:p>
        </w:tc>
      </w:tr>
      <w:tr>
        <w:tc>
          <w:tcPr>
            <w:tcW w:type="dxa" w:w="12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OES</w:t>
            </w:r>
          </w:p>
        </w:tc>
        <w:tc>
          <w:tcPr>
            <w:tcW w:type="dxa" w:w="26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Outcome &amp; Equity Score</w:t>
            </w:r>
          </w:p>
        </w:tc>
        <w:tc>
          <w:tcPr>
            <w:tcW w:type="dxa" w:w="55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The outcomes pillar. Inclusion, sustainability, realised results.</w:t>
            </w:r>
          </w:p>
        </w:tc>
      </w:tr>
    </w:tbl>
    <w:p>
      <w:pPr>
        <w:spacing w:after="140" w:line="280"/>
      </w:pPr>
      <w:r>
        <w:rPr>
          <w:rFonts w:ascii="Arial" w:cs="Arial" w:eastAsia="Arial" w:hAnsi="Arial"/>
          <w:color w:val="212B24"/>
          <w:sz w:val="21"/>
          <w:szCs w:val="21"/>
        </w:rPr>
        <w:t xml:space="preserve"/>
      </w:r>
    </w:p>
    <w:p>
      <w:pPr>
        <w:pStyle w:val="Heading2"/>
        <w:spacing w:after="120" w:before="280"/>
      </w:pPr>
      <w:r>
        <w:rPr>
          <w:rFonts w:ascii="Arial" w:cs="Arial" w:eastAsia="Arial" w:hAnsi="Arial"/>
          <w:b/>
          <w:bCs/>
          <w:color w:val="212B24"/>
          <w:sz w:val="24"/>
          <w:szCs w:val="24"/>
        </w:rPr>
        <w:t xml:space="preserve">Bands</w:t>
      </w:r>
    </w:p>
    <w:tbl>
      <w:tblPr>
        <w:tblW w:type="dxa" w:w="9360"/>
        <w:tblBorders>
          <w:top w:val="single" w:color="DCE1D8" w:sz="4"/>
          <w:left w:val="none"/>
          <w:bottom w:val="single" w:color="DCE1D8" w:sz="4"/>
          <w:right w:val="none"/>
          <w:insideH w:val="single" w:color="DCE1D8" w:sz="2"/>
          <w:insideV w:val="none"/>
        </w:tblBorders>
      </w:tblPr>
      <w:tblGrid>
        <w:gridCol w:w="1100"/>
        <w:gridCol w:w="3000"/>
        <w:gridCol w:w="2600"/>
        <w:gridCol w:w="2660"/>
      </w:tblGrid>
      <w:tr>
        <w:trPr>
          <w:tblHeader/>
        </w:trPr>
        <w:tc>
          <w:tcPr>
            <w:tcW w:type="dxa" w:w="110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Level</w:t>
            </w:r>
          </w:p>
        </w:tc>
        <w:tc>
          <w:tcPr>
            <w:tcW w:type="dxa" w:w="300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Band</w:t>
            </w:r>
          </w:p>
        </w:tc>
        <w:tc>
          <w:tcPr>
            <w:tcW w:type="dxa" w:w="260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From</w:t>
            </w:r>
          </w:p>
        </w:tc>
        <w:tc>
          <w:tcPr>
            <w:tcW w:type="dxa" w:w="266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Below</w:t>
            </w:r>
          </w:p>
        </w:tc>
      </w:tr>
      <w:tr>
        <w:tc>
          <w:tcPr>
            <w:tcW w:type="dxa" w:w="11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1</w:t>
            </w:r>
          </w:p>
        </w:tc>
        <w:tc>
          <w:tcPr>
            <w:tcW w:type="dxa" w:w="30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Nascent</w:t>
            </w:r>
          </w:p>
        </w:tc>
        <w:tc>
          <w:tcPr>
            <w:tcW w:type="dxa" w:w="26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1</w:t>
            </w:r>
          </w:p>
        </w:tc>
        <w:tc>
          <w:tcPr>
            <w:tcW w:type="dxa" w:w="26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1.8</w:t>
            </w:r>
          </w:p>
        </w:tc>
      </w:tr>
      <w:tr>
        <w:tc>
          <w:tcPr>
            <w:tcW w:type="dxa" w:w="11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2</w:t>
            </w:r>
          </w:p>
        </w:tc>
        <w:tc>
          <w:tcPr>
            <w:tcW w:type="dxa" w:w="30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Emerging</w:t>
            </w:r>
          </w:p>
        </w:tc>
        <w:tc>
          <w:tcPr>
            <w:tcW w:type="dxa" w:w="26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1.8</w:t>
            </w:r>
          </w:p>
        </w:tc>
        <w:tc>
          <w:tcPr>
            <w:tcW w:type="dxa" w:w="26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2.6</w:t>
            </w:r>
          </w:p>
        </w:tc>
      </w:tr>
      <w:tr>
        <w:tc>
          <w:tcPr>
            <w:tcW w:type="dxa" w:w="11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3</w:t>
            </w:r>
          </w:p>
        </w:tc>
        <w:tc>
          <w:tcPr>
            <w:tcW w:type="dxa" w:w="30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Established</w:t>
            </w:r>
          </w:p>
        </w:tc>
        <w:tc>
          <w:tcPr>
            <w:tcW w:type="dxa" w:w="26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2.6</w:t>
            </w:r>
          </w:p>
        </w:tc>
        <w:tc>
          <w:tcPr>
            <w:tcW w:type="dxa" w:w="26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3.4</w:t>
            </w:r>
          </w:p>
        </w:tc>
      </w:tr>
      <w:tr>
        <w:tc>
          <w:tcPr>
            <w:tcW w:type="dxa" w:w="11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4</w:t>
            </w:r>
          </w:p>
        </w:tc>
        <w:tc>
          <w:tcPr>
            <w:tcW w:type="dxa" w:w="30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Advanced</w:t>
            </w:r>
          </w:p>
        </w:tc>
        <w:tc>
          <w:tcPr>
            <w:tcW w:type="dxa" w:w="26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3.4</w:t>
            </w:r>
          </w:p>
        </w:tc>
        <w:tc>
          <w:tcPr>
            <w:tcW w:type="dxa" w:w="26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4.2</w:t>
            </w:r>
          </w:p>
        </w:tc>
      </w:tr>
      <w:tr>
        <w:tc>
          <w:tcPr>
            <w:tcW w:type="dxa" w:w="11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5</w:t>
            </w:r>
          </w:p>
        </w:tc>
        <w:tc>
          <w:tcPr>
            <w:tcW w:type="dxa" w:w="30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Transformative</w:t>
            </w:r>
          </w:p>
        </w:tc>
        <w:tc>
          <w:tcPr>
            <w:tcW w:type="dxa" w:w="26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4.2</w:t>
            </w:r>
          </w:p>
        </w:tc>
        <w:tc>
          <w:tcPr>
            <w:tcW w:type="dxa" w:w="26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5.01</w:t>
            </w:r>
          </w:p>
        </w:tc>
      </w:tr>
    </w:tbl>
    <w:p>
      <w:pPr>
        <w:spacing w:after="140" w:line="280"/>
      </w:pPr>
      <w:r>
        <w:rPr>
          <w:rFonts w:ascii="Arial" w:cs="Arial" w:eastAsia="Arial" w:hAnsi="Arial"/>
          <w:color w:val="212B24"/>
          <w:sz w:val="21"/>
          <w:szCs w:val="21"/>
        </w:rPr>
        <w:t xml:space="preserve"/>
      </w:r>
    </w:p>
    <w:p>
      <w:pPr>
        <w:spacing w:after="140" w:line="280"/>
      </w:pPr>
      <w:r>
        <w:rPr>
          <w:rFonts w:ascii="Arial" w:cs="Arial" w:eastAsia="Arial" w:hAnsi="Arial"/>
          <w:color w:val="212B24"/>
          <w:sz w:val="21"/>
          <w:szCs w:val="21"/>
        </w:rPr>
        <w:t xml:space="preserve">Bands are half-open and mutually exclusive, so a score sits in exactly one band with no boundary ambiguity.</w:t>
      </w:r>
    </w:p>
    <w:p>
      <w:pPr>
        <w:pStyle w:val="Heading1"/>
        <w:spacing w:after="160" w:before="380"/>
      </w:pPr>
      <w:r>
        <w:rPr>
          <w:rFonts w:ascii="Arial" w:cs="Arial" w:eastAsia="Arial" w:hAnsi="Arial"/>
          <w:b w:val="false"/>
          <w:bCs w:val="false"/>
          <w:color w:val="1F5C3D"/>
          <w:sz w:val="30"/>
          <w:szCs w:val="30"/>
        </w:rPr>
        <w:t xml:space="preserve">6. Core gates and the stage cascade</w:t>
      </w:r>
    </w:p>
    <w:p>
      <w:pPr>
        <w:spacing w:after="140" w:line="280"/>
      </w:pPr>
      <w:r>
        <w:rPr>
          <w:rFonts w:ascii="Arial" w:cs="Arial" w:eastAsia="Arial" w:hAnsi="Arial"/>
          <w:color w:val="212B24"/>
          <w:sz w:val="21"/>
          <w:szCs w:val="21"/>
        </w:rPr>
        <w:t xml:space="preserve">14 indicators are designated core gates. They are prerequisites rather than points to be traded off, and they behave non-compensatively:</w:t>
      </w:r>
    </w:p>
    <w:p>
      <w:pPr>
        <w:pStyle w:val="ListParagraph"/>
        <w:numPr>
          <w:ilvl w:val="0"/>
          <w:numId w:val="2"/>
        </w:numPr>
        <w:spacing w:after="90" w:line="280"/>
      </w:pPr>
      <w:r>
        <w:rPr>
          <w:rFonts w:ascii="Arial" w:cs="Arial" w:eastAsia="Arial" w:hAnsi="Arial"/>
          <w:color w:val="212B24"/>
          <w:sz w:val="21"/>
          <w:szCs w:val="21"/>
        </w:rPr>
        <w:t xml:space="preserve">A core gate at Level 1 caps the overall stage at Stage 1, however strong the rest of the assessment.</w:t>
      </w:r>
    </w:p>
    <w:p>
      <w:pPr>
        <w:pStyle w:val="ListParagraph"/>
        <w:numPr>
          <w:ilvl w:val="0"/>
          <w:numId w:val="2"/>
        </w:numPr>
        <w:spacing w:after="90" w:line="280"/>
      </w:pPr>
      <w:r>
        <w:rPr>
          <w:rFonts w:ascii="Arial" w:cs="Arial" w:eastAsia="Arial" w:hAnsi="Arial"/>
          <w:color w:val="212B24"/>
          <w:sz w:val="21"/>
          <w:szCs w:val="21"/>
        </w:rPr>
        <w:t xml:space="preserve">A core gate that is unmeasured suppresses the stage entirely. A gap cannot be hidden by not measuring it.</w:t>
      </w:r>
    </w:p>
    <w:p>
      <w:pPr>
        <w:spacing w:after="140" w:line="280"/>
      </w:pPr>
      <w:r>
        <w:rPr>
          <w:rFonts w:ascii="Arial" w:cs="Arial" w:eastAsia="Arial" w:hAnsi="Arial"/>
          <w:color w:val="212B24"/>
          <w:sz w:val="21"/>
          <w:szCs w:val="21"/>
        </w:rPr>
        <w:t xml:space="preserve"/>
      </w:r>
    </w:p>
    <w:tbl>
      <w:tblPr>
        <w:tblW w:type="dxa" w:w="9360"/>
        <w:tblBorders>
          <w:top w:val="single" w:color="DCE1D8" w:sz="4"/>
          <w:left w:val="none"/>
          <w:bottom w:val="single" w:color="DCE1D8" w:sz="4"/>
          <w:right w:val="none"/>
          <w:insideH w:val="single" w:color="DCE1D8" w:sz="2"/>
          <w:insideV w:val="none"/>
        </w:tblBorders>
      </w:tblPr>
      <w:tblGrid>
        <w:gridCol w:w="900"/>
        <w:gridCol w:w="6900"/>
        <w:gridCol w:w="1560"/>
      </w:tblGrid>
      <w:tr>
        <w:trPr>
          <w:tblHeader/>
        </w:trPr>
        <w:tc>
          <w:tcPr>
            <w:tcW w:type="dxa" w:w="90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ID</w:t>
            </w:r>
          </w:p>
        </w:tc>
        <w:tc>
          <w:tcPr>
            <w:tcW w:type="dxa" w:w="690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Core gate</w:t>
            </w:r>
          </w:p>
        </w:tc>
        <w:tc>
          <w:tcPr>
            <w:tcW w:type="dxa" w:w="156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Pillar</w:t>
            </w:r>
          </w:p>
        </w:tc>
      </w:tr>
      <w:tr>
        <w:tc>
          <w:tcPr>
            <w:tcW w:type="dxa" w:w="9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2.1</w:t>
            </w:r>
          </w:p>
        </w:tc>
        <w:tc>
          <w:tcPr>
            <w:tcW w:type="dxa" w:w="69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Rural population covered by at least 3G (%)</w:t>
            </w:r>
          </w:p>
        </w:tc>
        <w:tc>
          <w:tcPr>
            <w:tcW w:type="dxa" w:w="15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C1</w:t>
            </w:r>
          </w:p>
        </w:tc>
      </w:tr>
      <w:tr>
        <w:tc>
          <w:tcPr>
            <w:tcW w:type="dxa" w:w="9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2.5</w:t>
            </w:r>
          </w:p>
        </w:tc>
        <w:tc>
          <w:tcPr>
            <w:tcW w:type="dxa" w:w="69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Mobile broadband basket price (% GNI per capita)</w:t>
            </w:r>
          </w:p>
        </w:tc>
        <w:tc>
          <w:tcPr>
            <w:tcW w:type="dxa" w:w="15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C1</w:t>
            </w:r>
          </w:p>
        </w:tc>
      </w:tr>
      <w:tr>
        <w:tc>
          <w:tcPr>
            <w:tcW w:type="dxa" w:w="9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2.9</w:t>
            </w:r>
          </w:p>
        </w:tc>
        <w:tc>
          <w:tcPr>
            <w:tcW w:type="dxa" w:w="69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Electricity access in rural areas (%)</w:t>
            </w:r>
          </w:p>
        </w:tc>
        <w:tc>
          <w:tcPr>
            <w:tcW w:type="dxa" w:w="15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C1</w:t>
            </w:r>
          </w:p>
        </w:tc>
      </w:tr>
      <w:tr>
        <w:tc>
          <w:tcPr>
            <w:tcW w:type="dxa" w:w="9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3.3</w:t>
            </w:r>
          </w:p>
        </w:tc>
        <w:tc>
          <w:tcPr>
            <w:tcW w:type="dxa" w:w="69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National farmer registry/database</w:t>
            </w:r>
          </w:p>
        </w:tc>
        <w:tc>
          <w:tcPr>
            <w:tcW w:type="dxa" w:w="15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C2</w:t>
            </w:r>
          </w:p>
        </w:tc>
      </w:tr>
      <w:tr>
        <w:tc>
          <w:tcPr>
            <w:tcW w:type="dxa" w:w="9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3.11</w:t>
            </w:r>
          </w:p>
        </w:tc>
        <w:tc>
          <w:tcPr>
            <w:tcW w:type="dxa" w:w="69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Interoperability standards for agricultural data</w:t>
            </w:r>
          </w:p>
        </w:tc>
        <w:tc>
          <w:tcPr>
            <w:tcW w:type="dxa" w:w="15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C2</w:t>
            </w:r>
          </w:p>
        </w:tc>
      </w:tr>
      <w:tr>
        <w:tc>
          <w:tcPr>
            <w:tcW w:type="dxa" w:w="9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4.1</w:t>
            </w:r>
          </w:p>
        </w:tc>
        <w:tc>
          <w:tcPr>
            <w:tcW w:type="dxa" w:w="69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Data protection/privacy law</w:t>
            </w:r>
          </w:p>
        </w:tc>
        <w:tc>
          <w:tcPr>
            <w:tcW w:type="dxa" w:w="15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C3</w:t>
            </w:r>
          </w:p>
        </w:tc>
      </w:tr>
      <w:tr>
        <w:tc>
          <w:tcPr>
            <w:tcW w:type="dxa" w:w="9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4.2</w:t>
            </w:r>
          </w:p>
        </w:tc>
        <w:tc>
          <w:tcPr>
            <w:tcW w:type="dxa" w:w="69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Cybersecurity legal framework (ITU GCI)</w:t>
            </w:r>
          </w:p>
        </w:tc>
        <w:tc>
          <w:tcPr>
            <w:tcW w:type="dxa" w:w="15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C3</w:t>
            </w:r>
          </w:p>
        </w:tc>
      </w:tr>
      <w:tr>
        <w:tc>
          <w:tcPr>
            <w:tcW w:type="dxa" w:w="9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4.5</w:t>
            </w:r>
          </w:p>
        </w:tc>
        <w:tc>
          <w:tcPr>
            <w:tcW w:type="dxa" w:w="69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Agricultural data governance framework</w:t>
            </w:r>
          </w:p>
        </w:tc>
        <w:tc>
          <w:tcPr>
            <w:tcW w:type="dxa" w:w="15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C3</w:t>
            </w:r>
          </w:p>
        </w:tc>
      </w:tr>
      <w:tr>
        <w:tc>
          <w:tcPr>
            <w:tcW w:type="dxa" w:w="9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4.9</w:t>
            </w:r>
          </w:p>
        </w:tc>
        <w:tc>
          <w:tcPr>
            <w:tcW w:type="dxa" w:w="69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Inter-ministerial coordination mechanism for digital agriculture</w:t>
            </w:r>
          </w:p>
        </w:tc>
        <w:tc>
          <w:tcPr>
            <w:tcW w:type="dxa" w:w="15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C3</w:t>
            </w:r>
          </w:p>
        </w:tc>
      </w:tr>
      <w:tr>
        <w:tc>
          <w:tcPr>
            <w:tcW w:type="dxa" w:w="9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5.5</w:t>
            </w:r>
          </w:p>
        </w:tc>
        <w:tc>
          <w:tcPr>
            <w:tcW w:type="dxa" w:w="69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Extension workers trained in digital tools (%)</w:t>
            </w:r>
          </w:p>
        </w:tc>
        <w:tc>
          <w:tcPr>
            <w:tcW w:type="dxa" w:w="15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C4</w:t>
            </w:r>
          </w:p>
        </w:tc>
      </w:tr>
      <w:tr>
        <w:tc>
          <w:tcPr>
            <w:tcW w:type="dxa" w:w="9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5.7</w:t>
            </w:r>
          </w:p>
        </w:tc>
        <w:tc>
          <w:tcPr>
            <w:tcW w:type="dxa" w:w="69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Dedicated digital/AI units in Ministry of Agriculture</w:t>
            </w:r>
          </w:p>
        </w:tc>
        <w:tc>
          <w:tcPr>
            <w:tcW w:type="dxa" w:w="15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C4</w:t>
            </w:r>
          </w:p>
        </w:tc>
      </w:tr>
      <w:tr>
        <w:tc>
          <w:tcPr>
            <w:tcW w:type="dxa" w:w="9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6.14</w:t>
            </w:r>
          </w:p>
        </w:tc>
        <w:tc>
          <w:tcPr>
            <w:tcW w:type="dxa" w:w="69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Agri-fintech / mobile-money rails accessible to smallholders</w:t>
            </w:r>
          </w:p>
        </w:tc>
        <w:tc>
          <w:tcPr>
            <w:tcW w:type="dxa" w:w="15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E1</w:t>
            </w:r>
          </w:p>
        </w:tc>
      </w:tr>
      <w:tr>
        <w:tc>
          <w:tcPr>
            <w:tcW w:type="dxa" w:w="9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7.9</w:t>
            </w:r>
          </w:p>
        </w:tc>
        <w:tc>
          <w:tcPr>
            <w:tcW w:type="dxa" w:w="69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Cybersecurity of agricultural digital systems</w:t>
            </w:r>
          </w:p>
        </w:tc>
        <w:tc>
          <w:tcPr>
            <w:tcW w:type="dxa" w:w="15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E2</w:t>
            </w:r>
          </w:p>
        </w:tc>
      </w:tr>
      <w:tr>
        <w:tc>
          <w:tcPr>
            <w:tcW w:type="dxa" w:w="9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7.12</w:t>
            </w:r>
          </w:p>
        </w:tc>
        <w:tc>
          <w:tcPr>
            <w:tcW w:type="dxa" w:w="69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Farmer consent and data rights in AI systems</w:t>
            </w:r>
          </w:p>
        </w:tc>
        <w:tc>
          <w:tcPr>
            <w:tcW w:type="dxa" w:w="15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E2</w:t>
            </w:r>
          </w:p>
        </w:tc>
      </w:tr>
    </w:tbl>
    <w:p>
      <w:pPr>
        <w:spacing w:after="140" w:line="280"/>
      </w:pPr>
      <w:r>
        <w:rPr>
          <w:rFonts w:ascii="Arial" w:cs="Arial" w:eastAsia="Arial" w:hAnsi="Arial"/>
          <w:color w:val="212B24"/>
          <w:sz w:val="21"/>
          <w:szCs w:val="21"/>
        </w:rPr>
        <w:t xml:space="preserve"/>
      </w:r>
    </w:p>
    <w:p>
      <w:pPr>
        <w:pStyle w:val="Heading2"/>
        <w:spacing w:after="120" w:before="280"/>
      </w:pPr>
      <w:r>
        <w:rPr>
          <w:rFonts w:ascii="Arial" w:cs="Arial" w:eastAsia="Arial" w:hAnsi="Arial"/>
          <w:b/>
          <w:bCs/>
          <w:color w:val="212B24"/>
          <w:sz w:val="24"/>
          <w:szCs w:val="24"/>
        </w:rPr>
        <w:t xml:space="preserve">The stage floors</w:t>
      </w:r>
    </w:p>
    <w:p>
      <w:pPr>
        <w:spacing w:after="140" w:line="280"/>
      </w:pPr>
      <w:r>
        <w:rPr>
          <w:rFonts w:ascii="Arial" w:cs="Arial" w:eastAsia="Arial" w:hAnsi="Arial"/>
          <w:color w:val="212B24"/>
          <w:sz w:val="21"/>
          <w:szCs w:val="21"/>
        </w:rPr>
        <w:t xml:space="preserve">A stage is reached only when every floor for that stage is met. The achieved stage is the highest whose floors are all satisfied — a country between two sets of floors sits at the lower stage.</w:t>
      </w:r>
    </w:p>
    <w:tbl>
      <w:tblPr>
        <w:tblW w:type="dxa" w:w="9360"/>
        <w:tblBorders>
          <w:top w:val="single" w:color="DCE1D8" w:sz="4"/>
          <w:left w:val="none"/>
          <w:bottom w:val="single" w:color="DCE1D8" w:sz="4"/>
          <w:right w:val="none"/>
          <w:insideH w:val="single" w:color="DCE1D8" w:sz="2"/>
          <w:insideV w:val="none"/>
        </w:tblBorders>
      </w:tblPr>
      <w:tblGrid>
        <w:gridCol w:w="2200"/>
        <w:gridCol w:w="2400"/>
        <w:gridCol w:w="2400"/>
        <w:gridCol w:w="2360"/>
      </w:tblGrid>
      <w:tr>
        <w:trPr>
          <w:tblHeader/>
        </w:trPr>
        <w:tc>
          <w:tcPr>
            <w:tcW w:type="dxa" w:w="220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Stage</w:t>
            </w:r>
          </w:p>
        </w:tc>
        <w:tc>
          <w:tcPr>
            <w:tcW w:type="dxa" w:w="240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CMS floor</w:t>
            </w:r>
          </w:p>
        </w:tc>
        <w:tc>
          <w:tcPr>
            <w:tcW w:type="dxa" w:w="240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EMS floor</w:t>
            </w:r>
          </w:p>
        </w:tc>
        <w:tc>
          <w:tcPr>
            <w:tcW w:type="dxa" w:w="236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OES floor</w:t>
            </w:r>
          </w:p>
        </w:tc>
      </w:tr>
      <w:tr>
        <w:tc>
          <w:tcPr>
            <w:tcW w:type="dxa" w:w="22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Stage 2</w:t>
            </w:r>
          </w:p>
        </w:tc>
        <w:tc>
          <w:tcPr>
            <w:tcW w:type="dxa" w:w="24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2.6</w:t>
            </w:r>
          </w:p>
        </w:tc>
        <w:tc>
          <w:tcPr>
            <w:tcW w:type="dxa" w:w="24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w:t>
            </w:r>
          </w:p>
        </w:tc>
        <w:tc>
          <w:tcPr>
            <w:tcW w:type="dxa" w:w="23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w:t>
            </w:r>
          </w:p>
        </w:tc>
      </w:tr>
      <w:tr>
        <w:tc>
          <w:tcPr>
            <w:tcW w:type="dxa" w:w="22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Stage 3</w:t>
            </w:r>
          </w:p>
        </w:tc>
        <w:tc>
          <w:tcPr>
            <w:tcW w:type="dxa" w:w="24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3.4</w:t>
            </w:r>
          </w:p>
        </w:tc>
        <w:tc>
          <w:tcPr>
            <w:tcW w:type="dxa" w:w="24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2.6</w:t>
            </w:r>
          </w:p>
        </w:tc>
        <w:tc>
          <w:tcPr>
            <w:tcW w:type="dxa" w:w="23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w:t>
            </w:r>
          </w:p>
        </w:tc>
      </w:tr>
      <w:tr>
        <w:tc>
          <w:tcPr>
            <w:tcW w:type="dxa" w:w="22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Stage 4</w:t>
            </w:r>
          </w:p>
        </w:tc>
        <w:tc>
          <w:tcPr>
            <w:tcW w:type="dxa" w:w="24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4.2</w:t>
            </w:r>
          </w:p>
        </w:tc>
        <w:tc>
          <w:tcPr>
            <w:tcW w:type="dxa" w:w="24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3.4</w:t>
            </w:r>
          </w:p>
        </w:tc>
        <w:tc>
          <w:tcPr>
            <w:tcW w:type="dxa" w:w="23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2.6</w:t>
            </w:r>
          </w:p>
        </w:tc>
      </w:tr>
      <w:tr>
        <w:tc>
          <w:tcPr>
            <w:tcW w:type="dxa" w:w="22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Stage 5</w:t>
            </w:r>
          </w:p>
        </w:tc>
        <w:tc>
          <w:tcPr>
            <w:tcW w:type="dxa" w:w="24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4.5</w:t>
            </w:r>
          </w:p>
        </w:tc>
        <w:tc>
          <w:tcPr>
            <w:tcW w:type="dxa" w:w="240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4.2</w:t>
            </w:r>
          </w:p>
        </w:tc>
        <w:tc>
          <w:tcPr>
            <w:tcW w:type="dxa" w:w="23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3.4</w:t>
            </w:r>
          </w:p>
        </w:tc>
      </w:tr>
    </w:tbl>
    <w:p>
      <w:pPr>
        <w:spacing w:after="140" w:line="280"/>
      </w:pPr>
      <w:r>
        <w:rPr>
          <w:rFonts w:ascii="Arial" w:cs="Arial" w:eastAsia="Arial" w:hAnsi="Arial"/>
          <w:color w:val="212B24"/>
          <w:sz w:val="21"/>
          <w:szCs w:val="21"/>
        </w:rPr>
        <w:t xml:space="preserve"/>
      </w:r>
    </w:p>
    <w:p>
      <w:pPr>
        <w:spacing w:after="140" w:line="280"/>
      </w:pPr>
      <w:r>
        <w:rPr>
          <w:rFonts w:ascii="Arial" w:cs="Arial" w:eastAsia="Arial" w:hAnsi="Arial"/>
          <w:b/>
          <w:bCs/>
          <w:color w:val="212B24"/>
          <w:sz w:val="21"/>
          <w:szCs w:val="21"/>
        </w:rPr>
        <w:t xml:space="preserve">Leapfrog fragility. </w:t>
      </w:r>
      <w:r>
        <w:rPr>
          <w:rFonts w:ascii="Arial" w:cs="Arial" w:eastAsia="Arial" w:hAnsi="Arial"/>
          <w:color w:val="212B24"/>
          <w:sz w:val="21"/>
          <w:szCs w:val="21"/>
        </w:rPr>
        <w:t xml:space="preserve">Where the gap between foundational and transformational capability exceeds 1.5, the assessment is flagged as leapfrog-fragile: advanced applications resting on foundations that cannot carry them. The flag is diagnostic, not punitive — it tells a task team where a roadmap's sequencing risk lies.</w:t>
      </w:r>
    </w:p>
    <w:p>
      <w:r>
        <w:br w:type="page"/>
      </w:r>
    </w:p>
    <w:p>
      <w:pPr>
        <w:pStyle w:val="Heading1"/>
        <w:spacing w:after="160" w:before="380"/>
      </w:pPr>
      <w:r>
        <w:rPr>
          <w:rFonts w:ascii="Arial" w:cs="Arial" w:eastAsia="Arial" w:hAnsi="Arial"/>
          <w:b w:val="false"/>
          <w:bCs w:val="false"/>
          <w:color w:val="1F5C3D"/>
          <w:sz w:val="30"/>
          <w:szCs w:val="30"/>
        </w:rPr>
        <w:t xml:space="preserve">7. The four-step process</w:t>
      </w:r>
    </w:p>
    <w:p>
      <w:pPr>
        <w:pStyle w:val="Heading2"/>
        <w:spacing w:after="120" w:before="280"/>
      </w:pPr>
      <w:r>
        <w:rPr>
          <w:rFonts w:ascii="Arial" w:cs="Arial" w:eastAsia="Arial" w:hAnsi="Arial"/>
          <w:b/>
          <w:bCs/>
          <w:color w:val="212B24"/>
          <w:sz w:val="24"/>
          <w:szCs w:val="24"/>
        </w:rPr>
        <w:t xml:space="preserve">Step 1 — Populate indicators</w:t>
      </w:r>
    </w:p>
    <w:p>
      <w:pPr>
        <w:spacing w:after="100" w:line="280"/>
      </w:pPr>
      <w:r>
        <w:rPr>
          <w:rFonts w:ascii="Arial" w:cs="Arial" w:eastAsia="Arial" w:hAnsi="Arial"/>
          <w:b/>
          <w:bCs/>
          <w:color w:val="212B24"/>
          <w:sz w:val="21"/>
          <w:szCs w:val="21"/>
        </w:rPr>
        <w:t xml:space="preserve">Executor: </w:t>
      </w:r>
      <w:r>
        <w:rPr>
          <w:rFonts w:ascii="Arial" w:cs="Arial" w:eastAsia="Arial" w:hAnsi="Arial"/>
          <w:color w:val="212B24"/>
          <w:sz w:val="21"/>
          <w:szCs w:val="21"/>
        </w:rPr>
        <w:t xml:space="preserve">Machine (+ assessor for qualitative)</w:t>
      </w:r>
      <w:r>
        <w:rPr>
          <w:rFonts w:ascii="Arial" w:cs="Arial" w:eastAsia="Arial" w:hAnsi="Arial"/>
          <w:color w:val="212B24"/>
          <w:sz w:val="21"/>
          <w:szCs w:val="21"/>
        </w:rPr>
        <w:t xml:space="preserve">   ·   </w:t>
      </w:r>
      <w:r>
        <w:rPr>
          <w:rFonts w:ascii="Arial" w:cs="Arial" w:eastAsia="Arial" w:hAnsi="Arial"/>
          <w:b/>
          <w:bCs/>
          <w:color w:val="212B24"/>
          <w:sz w:val="21"/>
          <w:szCs w:val="21"/>
        </w:rPr>
        <w:t xml:space="preserve">Output: </w:t>
      </w:r>
      <w:r>
        <w:rPr>
          <w:rFonts w:ascii="Arial" w:cs="Arial" w:eastAsia="Arial" w:hAnsi="Arial"/>
          <w:color w:val="212B24"/>
          <w:sz w:val="21"/>
          <w:szCs w:val="21"/>
        </w:rPr>
        <w:t xml:space="preserve">Populated workbook: 102 indicators with value, source name, source URL, year</w:t>
      </w:r>
    </w:p>
    <w:p>
      <w:pPr>
        <w:spacing w:after="140" w:line="280"/>
      </w:pPr>
      <w:r>
        <w:rPr>
          <w:rFonts w:ascii="Arial" w:cs="Arial" w:eastAsia="Arial" w:hAnsi="Arial"/>
          <w:color w:val="212B24"/>
          <w:sz w:val="21"/>
          <w:szCs w:val="21"/>
        </w:rPr>
        <w:t xml:space="preserve">Populate all 102 indicators. Quantitative indicators score themselves via the numeric-threshold rule on the Indicators sheet. Qualitative indicators are scored 1–5 by the assessor against the Qualitative Anchors sheet; the machine may propose a level, but the assessor level always wins. Every reading records source name, source URL, and observation year.</w:t>
      </w:r>
    </w:p>
    <w:p>
      <w:pPr>
        <w:pStyle w:val="Heading2"/>
        <w:spacing w:after="120" w:before="280"/>
      </w:pPr>
      <w:r>
        <w:rPr>
          <w:rFonts w:ascii="Arial" w:cs="Arial" w:eastAsia="Arial" w:hAnsi="Arial"/>
          <w:b/>
          <w:bCs/>
          <w:color w:val="212B24"/>
          <w:sz w:val="24"/>
          <w:szCs w:val="24"/>
        </w:rPr>
        <w:t xml:space="preserve">Step 2 — Score evidence quality</w:t>
      </w:r>
    </w:p>
    <w:p>
      <w:pPr>
        <w:spacing w:after="100" w:line="280"/>
      </w:pPr>
      <w:r>
        <w:rPr>
          <w:rFonts w:ascii="Arial" w:cs="Arial" w:eastAsia="Arial" w:hAnsi="Arial"/>
          <w:b/>
          <w:bCs/>
          <w:color w:val="212B24"/>
          <w:sz w:val="21"/>
          <w:szCs w:val="21"/>
        </w:rPr>
        <w:t xml:space="preserve">Executor: </w:t>
      </w:r>
      <w:r>
        <w:rPr>
          <w:rFonts w:ascii="Arial" w:cs="Arial" w:eastAsia="Arial" w:hAnsi="Arial"/>
          <w:color w:val="212B24"/>
          <w:sz w:val="21"/>
          <w:szCs w:val="21"/>
        </w:rPr>
        <w:t xml:space="preserve">Machine (automated)</w:t>
      </w:r>
      <w:r>
        <w:rPr>
          <w:rFonts w:ascii="Arial" w:cs="Arial" w:eastAsia="Arial" w:hAnsi="Arial"/>
          <w:color w:val="212B24"/>
          <w:sz w:val="21"/>
          <w:szCs w:val="21"/>
        </w:rPr>
        <w:t xml:space="preserve">   ·   </w:t>
      </w:r>
      <w:r>
        <w:rPr>
          <w:rFonts w:ascii="Arial" w:cs="Arial" w:eastAsia="Arial" w:hAnsi="Arial"/>
          <w:b/>
          <w:bCs/>
          <w:color w:val="212B24"/>
          <w:sz w:val="21"/>
          <w:szCs w:val="21"/>
        </w:rPr>
        <w:t xml:space="preserve">Output: </w:t>
      </w:r>
      <w:r>
        <w:rPr>
          <w:rFonts w:ascii="Arial" w:cs="Arial" w:eastAsia="Arial" w:hAnsi="Arial"/>
          <w:color w:val="212B24"/>
          <w:sz w:val="21"/>
          <w:szCs w:val="21"/>
        </w:rPr>
        <w:t xml:space="preserve">Evidence Quality Index per pillar; refresh list; verify list</w:t>
      </w:r>
    </w:p>
    <w:p>
      <w:pPr>
        <w:spacing w:after="140" w:line="280"/>
      </w:pPr>
      <w:r>
        <w:rPr>
          <w:rFonts w:ascii="Arial" w:cs="Arial" w:eastAsia="Arial" w:hAnsi="Arial"/>
          <w:color w:val="212B24"/>
          <w:sz w:val="21"/>
          <w:szCs w:val="21"/>
        </w:rPr>
        <w:t xml:space="preserve">For each reading, tag confidence High / Medium / Low / Data Gap. Staleness is automatic (year vs indicator max age). Coverage per pillar is automatic. Weighted evidence adequacy per read-out is automatic. All five feed a single Evidence Quality Index (green / amber / red) per pillar, plus two underlying lists: Refresh (stale readings + Low-confidence readings) and Verify (data gaps + unmeasured core gates).</w:t>
      </w:r>
    </w:p>
    <w:p>
      <w:pPr>
        <w:pStyle w:val="Heading2"/>
        <w:spacing w:after="120" w:before="280"/>
      </w:pPr>
      <w:r>
        <w:rPr>
          <w:rFonts w:ascii="Arial" w:cs="Arial" w:eastAsia="Arial" w:hAnsi="Arial"/>
          <w:b/>
          <w:bCs/>
          <w:color w:val="212B24"/>
          <w:sz w:val="24"/>
          <w:szCs w:val="24"/>
        </w:rPr>
        <w:t xml:space="preserve">Step 3 — Compile diagnostic package</w:t>
      </w:r>
    </w:p>
    <w:p>
      <w:pPr>
        <w:spacing w:after="100" w:line="280"/>
      </w:pPr>
      <w:r>
        <w:rPr>
          <w:rFonts w:ascii="Arial" w:cs="Arial" w:eastAsia="Arial" w:hAnsi="Arial"/>
          <w:b/>
          <w:bCs/>
          <w:color w:val="212B24"/>
          <w:sz w:val="21"/>
          <w:szCs w:val="21"/>
        </w:rPr>
        <w:t xml:space="preserve">Executor: </w:t>
      </w:r>
      <w:r>
        <w:rPr>
          <w:rFonts w:ascii="Arial" w:cs="Arial" w:eastAsia="Arial" w:hAnsi="Arial"/>
          <w:color w:val="212B24"/>
          <w:sz w:val="21"/>
          <w:szCs w:val="21"/>
        </w:rPr>
        <w:t xml:space="preserve">Machine (automated)</w:t>
      </w:r>
      <w:r>
        <w:rPr>
          <w:rFonts w:ascii="Arial" w:cs="Arial" w:eastAsia="Arial" w:hAnsi="Arial"/>
          <w:color w:val="212B24"/>
          <w:sz w:val="21"/>
          <w:szCs w:val="21"/>
        </w:rPr>
        <w:t xml:space="preserve">   ·   </w:t>
      </w:r>
      <w:r>
        <w:rPr>
          <w:rFonts w:ascii="Arial" w:cs="Arial" w:eastAsia="Arial" w:hAnsi="Arial"/>
          <w:b/>
          <w:bCs/>
          <w:color w:val="212B24"/>
          <w:sz w:val="21"/>
          <w:szCs w:val="21"/>
        </w:rPr>
        <w:t xml:space="preserve">Output: </w:t>
      </w:r>
      <w:r>
        <w:rPr>
          <w:rFonts w:ascii="Arial" w:cs="Arial" w:eastAsia="Arial" w:hAnsi="Arial"/>
          <w:color w:val="212B24"/>
          <w:sz w:val="21"/>
          <w:szCs w:val="21"/>
        </w:rPr>
        <w:t xml:space="preserve">Diagnostic Package (PDF) handed to TTL</w:t>
      </w:r>
    </w:p>
    <w:p>
      <w:pPr>
        <w:spacing w:after="140" w:line="280"/>
      </w:pPr>
      <w:r>
        <w:rPr>
          <w:rFonts w:ascii="Arial" w:cs="Arial" w:eastAsia="Arial" w:hAnsi="Arial"/>
          <w:color w:val="212B24"/>
          <w:sz w:val="21"/>
          <w:szCs w:val="21"/>
        </w:rPr>
        <w:t xml:space="preserve">Render the Diagnostic Package sheet: three read-outs (CMS/EMS/OES), provisional stage with caveat, core-gate audit (14 prerequisites), top binding constraints by pillar, Refresh list, Verify list, and the full 102-indicator appendix with source, year, confidence. Export as PDF. This is the single artefact handed to the TTL.</w:t>
      </w:r>
    </w:p>
    <w:p>
      <w:pPr>
        <w:pStyle w:val="Heading2"/>
        <w:spacing w:after="120" w:before="280"/>
      </w:pPr>
      <w:r>
        <w:rPr>
          <w:rFonts w:ascii="Arial" w:cs="Arial" w:eastAsia="Arial" w:hAnsi="Arial"/>
          <w:b/>
          <w:bCs/>
          <w:color w:val="212B24"/>
          <w:sz w:val="24"/>
          <w:szCs w:val="24"/>
        </w:rPr>
        <w:t xml:space="preserve">Step 4 — Draft the DAR offline</w:t>
      </w:r>
    </w:p>
    <w:p>
      <w:pPr>
        <w:spacing w:after="100" w:line="280"/>
      </w:pPr>
      <w:r>
        <w:rPr>
          <w:rFonts w:ascii="Arial" w:cs="Arial" w:eastAsia="Arial" w:hAnsi="Arial"/>
          <w:b/>
          <w:bCs/>
          <w:color w:val="212B24"/>
          <w:sz w:val="21"/>
          <w:szCs w:val="21"/>
        </w:rPr>
        <w:t xml:space="preserve">Executor: </w:t>
      </w:r>
      <w:r>
        <w:rPr>
          <w:rFonts w:ascii="Arial" w:cs="Arial" w:eastAsia="Arial" w:hAnsi="Arial"/>
          <w:color w:val="212B24"/>
          <w:sz w:val="21"/>
          <w:szCs w:val="21"/>
        </w:rPr>
        <w:t xml:space="preserve">TTL + team, post-mandate</w:t>
      </w:r>
      <w:r>
        <w:rPr>
          <w:rFonts w:ascii="Arial" w:cs="Arial" w:eastAsia="Arial" w:hAnsi="Arial"/>
          <w:color w:val="212B24"/>
          <w:sz w:val="21"/>
          <w:szCs w:val="21"/>
        </w:rPr>
        <w:t xml:space="preserve">   ·   </w:t>
      </w:r>
      <w:r>
        <w:rPr>
          <w:rFonts w:ascii="Arial" w:cs="Arial" w:eastAsia="Arial" w:hAnsi="Arial"/>
          <w:b/>
          <w:bCs/>
          <w:color w:val="212B24"/>
          <w:sz w:val="21"/>
          <w:szCs w:val="21"/>
        </w:rPr>
        <w:t xml:space="preserve">Output: </w:t>
      </w:r>
      <w:r>
        <w:rPr>
          <w:rFonts w:ascii="Arial" w:cs="Arial" w:eastAsia="Arial" w:hAnsi="Arial"/>
          <w:color w:val="212B24"/>
          <w:sz w:val="21"/>
          <w:szCs w:val="21"/>
        </w:rPr>
        <w:t xml:space="preserve">The DAR</w:t>
      </w:r>
    </w:p>
    <w:p>
      <w:pPr>
        <w:spacing w:after="140" w:line="280"/>
      </w:pPr>
      <w:r>
        <w:rPr>
          <w:rFonts w:ascii="Arial" w:cs="Arial" w:eastAsia="Arial" w:hAnsi="Arial"/>
          <w:color w:val="212B24"/>
          <w:sz w:val="21"/>
          <w:szCs w:val="21"/>
        </w:rPr>
        <w:t xml:space="preserve">The TTL and team draft the DAR offline, after the government mandate, drawing on the Diagnostic Package as evidence. This workbook is an input to that process, not part of it. The DAR is authored, validated with the steering committee, adopted and disclosed under the DAR methodology, which is separate from this workbook.</w:t>
      </w:r>
    </w:p>
    <w:p>
      <w:pPr>
        <w:spacing w:after="140" w:line="280"/>
      </w:pPr>
      <w:r>
        <w:rPr>
          <w:rFonts w:ascii="Arial" w:cs="Arial" w:eastAsia="Arial" w:hAnsi="Arial"/>
          <w:b/>
          <w:bCs/>
          <w:color w:val="212B24"/>
          <w:sz w:val="21"/>
          <w:szCs w:val="21"/>
        </w:rPr>
        <w:t xml:space="preserve">Where the mandate sits. </w:t>
      </w:r>
      <w:r>
        <w:rPr>
          <w:rFonts w:ascii="Arial" w:cs="Arial" w:eastAsia="Arial" w:hAnsi="Arial"/>
          <w:color w:val="212B24"/>
          <w:sz w:val="21"/>
          <w:szCs w:val="21"/>
        </w:rPr>
        <w:t xml:space="preserve">Steps 1 to 3 run on public evidence at any time and produce an internal diagnostic package. The government mandate gates the roadmap, not the diagnostic: nothing is called a Digital Agriculture Roadmap before the government has mandated the work, and the package is watermarked accordingly.</w:t>
      </w:r>
    </w:p>
    <w:p>
      <w:pPr>
        <w:pStyle w:val="Heading1"/>
        <w:spacing w:after="160" w:before="380"/>
      </w:pPr>
      <w:r>
        <w:rPr>
          <w:rFonts w:ascii="Arial" w:cs="Arial" w:eastAsia="Arial" w:hAnsi="Arial"/>
          <w:b w:val="false"/>
          <w:bCs w:val="false"/>
          <w:color w:val="1F5C3D"/>
          <w:sz w:val="30"/>
          <w:szCs w:val="30"/>
        </w:rPr>
        <w:t xml:space="preserve">8. The diagnostic package</w:t>
      </w:r>
    </w:p>
    <w:p>
      <w:pPr>
        <w:spacing w:after="140" w:line="280"/>
      </w:pPr>
      <w:r>
        <w:rPr>
          <w:rFonts w:ascii="Arial" w:cs="Arial" w:eastAsia="Arial" w:hAnsi="Arial"/>
          <w:color w:val="212B24"/>
          <w:sz w:val="21"/>
          <w:szCs w:val="21"/>
        </w:rPr>
        <w:t xml:space="preserve">The diagnostic package is the single artefact handed to the Task Team Leader. It answers seven questions in one document:</w:t>
      </w:r>
    </w:p>
    <w:tbl>
      <w:tblPr>
        <w:tblW w:type="dxa" w:w="9360"/>
        <w:tblBorders>
          <w:top w:val="single" w:color="DCE1D8" w:sz="4"/>
          <w:left w:val="none"/>
          <w:bottom w:val="single" w:color="DCE1D8" w:sz="4"/>
          <w:right w:val="none"/>
          <w:insideH w:val="single" w:color="DCE1D8" w:sz="2"/>
          <w:insideV w:val="none"/>
        </w:tblBorders>
      </w:tblPr>
      <w:tblGrid>
        <w:gridCol w:w="5200"/>
        <w:gridCol w:w="4160"/>
      </w:tblGrid>
      <w:tr>
        <w:trPr>
          <w:tblHeader/>
        </w:trPr>
        <w:tc>
          <w:tcPr>
            <w:tcW w:type="dxa" w:w="520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Question</w:t>
            </w:r>
          </w:p>
        </w:tc>
        <w:tc>
          <w:tcPr>
            <w:tcW w:type="dxa" w:w="416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Answered by</w:t>
            </w:r>
          </w:p>
        </w:tc>
      </w:tr>
      <w:tr>
        <w:tc>
          <w:tcPr>
            <w:tcW w:type="dxa" w:w="52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What is this country's provisional maturity?</w:t>
            </w:r>
          </w:p>
        </w:tc>
        <w:tc>
          <w:tcPr>
            <w:tcW w:type="dxa" w:w="41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Headline read-outs and provisional stage</w:t>
            </w:r>
          </w:p>
        </w:tc>
      </w:tr>
      <w:tr>
        <w:tc>
          <w:tcPr>
            <w:tcW w:type="dxa" w:w="52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Are the prerequisites in place?</w:t>
            </w:r>
          </w:p>
        </w:tc>
        <w:tc>
          <w:tcPr>
            <w:tcW w:type="dxa" w:w="41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Core-gate audit</w:t>
            </w:r>
          </w:p>
        </w:tc>
      </w:tr>
      <w:tr>
        <w:tc>
          <w:tcPr>
            <w:tcW w:type="dxa" w:w="52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Where is capability concentrated?</w:t>
            </w:r>
          </w:p>
        </w:tc>
        <w:tc>
          <w:tcPr>
            <w:tcW w:type="dxa" w:w="41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Pillar snapshot</w:t>
            </w:r>
          </w:p>
        </w:tc>
      </w:tr>
      <w:tr>
        <w:tc>
          <w:tcPr>
            <w:tcW w:type="dxa" w:w="52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How much should I trust the evidence?</w:t>
            </w:r>
          </w:p>
        </w:tc>
        <w:tc>
          <w:tcPr>
            <w:tcW w:type="dxa" w:w="41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Evidence quality index</w:t>
            </w:r>
          </w:p>
        </w:tc>
      </w:tr>
      <w:tr>
        <w:tc>
          <w:tcPr>
            <w:tcW w:type="dxa" w:w="52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What are the binding constraints?</w:t>
            </w:r>
          </w:p>
        </w:tc>
        <w:tc>
          <w:tcPr>
            <w:tcW w:type="dxa" w:w="41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Top constraints, ranked by ascending level</w:t>
            </w:r>
          </w:p>
        </w:tc>
      </w:tr>
      <w:tr>
        <w:tc>
          <w:tcPr>
            <w:tcW w:type="dxa" w:w="52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What must I refresh before finalising?</w:t>
            </w:r>
          </w:p>
        </w:tc>
        <w:tc>
          <w:tcPr>
            <w:tcW w:type="dxa" w:w="41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Refresh list</w:t>
            </w:r>
          </w:p>
        </w:tc>
      </w:tr>
      <w:tr>
        <w:tc>
          <w:tcPr>
            <w:tcW w:type="dxa" w:w="52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What gaps must I close?</w:t>
            </w:r>
          </w:p>
        </w:tc>
        <w:tc>
          <w:tcPr>
            <w:tcW w:type="dxa" w:w="41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Verify list</w:t>
            </w:r>
          </w:p>
        </w:tc>
      </w:tr>
    </w:tbl>
    <w:p>
      <w:pPr>
        <w:spacing w:after="140" w:line="280"/>
      </w:pPr>
      <w:r>
        <w:rPr>
          <w:rFonts w:ascii="Arial" w:cs="Arial" w:eastAsia="Arial" w:hAnsi="Arial"/>
          <w:color w:val="212B24"/>
          <w:sz w:val="21"/>
          <w:szCs w:val="21"/>
        </w:rPr>
        <w:t xml:space="preserve"/>
      </w:r>
    </w:p>
    <w:p>
      <w:pPr>
        <w:spacing w:after="140" w:line="280"/>
      </w:pPr>
      <w:r>
        <w:rPr>
          <w:rFonts w:ascii="Arial" w:cs="Arial" w:eastAsia="Arial" w:hAnsi="Arial"/>
          <w:color w:val="212B24"/>
          <w:sz w:val="21"/>
          <w:szCs w:val="21"/>
        </w:rPr>
        <w:t xml:space="preserve">The stage on the package is provisional. A Task Team Leader may accept or override it while drafting; if overridden, the rationale belongs in the roadmap's methodology chapter.</w:t>
      </w:r>
    </w:p>
    <w:p>
      <w:pPr>
        <w:pStyle w:val="Heading1"/>
        <w:spacing w:after="160" w:before="380"/>
      </w:pPr>
      <w:r>
        <w:rPr>
          <w:rFonts w:ascii="Arial" w:cs="Arial" w:eastAsia="Arial" w:hAnsi="Arial"/>
          <w:b w:val="false"/>
          <w:bCs w:val="false"/>
          <w:color w:val="1F5C3D"/>
          <w:sz w:val="30"/>
          <w:szCs w:val="30"/>
        </w:rPr>
        <w:t xml:space="preserve">9. From diagnostic package to draft roadmap</w:t>
      </w:r>
    </w:p>
    <w:p>
      <w:pPr>
        <w:spacing w:after="140" w:line="280"/>
      </w:pPr>
      <w:r>
        <w:rPr>
          <w:rFonts w:ascii="Arial" w:cs="Arial" w:eastAsia="Arial" w:hAnsi="Arial"/>
          <w:color w:val="212B24"/>
          <w:sz w:val="21"/>
          <w:szCs w:val="21"/>
        </w:rPr>
        <w:t xml:space="preserve">The DAR Studio prototype continues past Step 3. Having assembled and quality-scored the evidence, it drafts the roadmap itself — a full document with chapters and annexes — which the task team then reviews and corrects.</w:t>
      </w:r>
    </w:p>
    <w:p>
      <w:pPr>
        <w:spacing w:after="140" w:line="280"/>
      </w:pPr>
      <w:r>
        <w:rPr>
          <w:rFonts w:ascii="Arial" w:cs="Arial" w:eastAsia="Arial" w:hAnsi="Arial"/>
          <w:color w:val="212B24"/>
          <w:sz w:val="21"/>
          <w:szCs w:val="21"/>
        </w:rPr>
        <w:t xml:space="preserve">Three disciplines govern that drafting, and they are worth stating because they are what make a machine-drafted document reviewable:</w:t>
      </w:r>
    </w:p>
    <w:p>
      <w:pPr>
        <w:pStyle w:val="ListParagraph"/>
        <w:numPr>
          <w:ilvl w:val="0"/>
          <w:numId w:val="2"/>
        </w:numPr>
        <w:spacing w:after="90" w:line="280"/>
      </w:pPr>
      <w:r>
        <w:rPr>
          <w:rFonts w:ascii="Arial" w:cs="Arial" w:eastAsia="Arial" w:hAnsi="Arial"/>
          <w:color w:val="212B24"/>
          <w:sz w:val="21"/>
          <w:szCs w:val="21"/>
        </w:rPr>
        <w:t xml:space="preserve">Numbers are never invented. A language model writes connective prose over engine facts; any passage containing a figure the evidence base does not hold is rejected and discarded before it reaches the document.</w:t>
      </w:r>
    </w:p>
    <w:p>
      <w:pPr>
        <w:pStyle w:val="ListParagraph"/>
        <w:numPr>
          <w:ilvl w:val="0"/>
          <w:numId w:val="2"/>
        </w:numPr>
        <w:spacing w:after="90" w:line="280"/>
      </w:pPr>
      <w:r>
        <w:rPr>
          <w:rFonts w:ascii="Arial" w:cs="Arial" w:eastAsia="Arial" w:hAnsi="Arial"/>
          <w:color w:val="212B24"/>
          <w:sz w:val="21"/>
          <w:szCs w:val="21"/>
        </w:rPr>
        <w:t xml:space="preserve">Provenance is inline. Every figure carries its source, observation year and credibility grade in place, and machine-proposed levels are labelled as proposals pending validation.</w:t>
      </w:r>
    </w:p>
    <w:p>
      <w:pPr>
        <w:pStyle w:val="ListParagraph"/>
        <w:numPr>
          <w:ilvl w:val="0"/>
          <w:numId w:val="2"/>
        </w:numPr>
        <w:spacing w:after="90" w:line="280"/>
      </w:pPr>
      <w:r>
        <w:rPr>
          <w:rFonts w:ascii="Arial" w:cs="Arial" w:eastAsia="Arial" w:hAnsi="Arial"/>
          <w:color w:val="212B24"/>
          <w:sz w:val="21"/>
          <w:szCs w:val="21"/>
        </w:rPr>
        <w:t xml:space="preserve">Recommendations that rest on thin evidence are written as an explicit hypothesis with the evidence required and the decision gate that would confirm it, rather than as settled advice.</w:t>
      </w:r>
    </w:p>
    <w:p>
      <w:pPr>
        <w:spacing w:after="140" w:line="280"/>
      </w:pPr>
      <w:r>
        <w:rPr>
          <w:rFonts w:ascii="Arial" w:cs="Arial" w:eastAsia="Arial" w:hAnsi="Arial"/>
          <w:color w:val="212B24"/>
          <w:sz w:val="21"/>
          <w:szCs w:val="21"/>
        </w:rPr>
        <w:t xml:space="preserve">The draft opens with an evidence-health page: what the evidence can and cannot yet carry, and a ranked list of what to strengthen first. Reviewing and correcting an argued, cited document is a materially different task from authoring one from a blank page, and it is the task the tool is designed to create.</w:t>
      </w:r>
    </w:p>
    <w:p>
      <w:r>
        <w:br w:type="page"/>
      </w:r>
    </w:p>
    <w:p>
      <w:pPr>
        <w:pStyle w:val="Heading1"/>
        <w:spacing w:after="160" w:before="380"/>
      </w:pPr>
      <w:r>
        <w:rPr>
          <w:rFonts w:ascii="Arial" w:cs="Arial" w:eastAsia="Arial" w:hAnsi="Arial"/>
          <w:b w:val="false"/>
          <w:bCs w:val="false"/>
          <w:color w:val="1F5C3D"/>
          <w:sz w:val="30"/>
          <w:szCs w:val="30"/>
        </w:rPr>
        <w:t xml:space="preserve">Glossary</w:t>
      </w:r>
    </w:p>
    <w:tbl>
      <w:tblPr>
        <w:tblW w:type="dxa" w:w="9360"/>
        <w:tblBorders>
          <w:top w:val="single" w:color="DCE1D8" w:sz="4"/>
          <w:left w:val="none"/>
          <w:bottom w:val="single" w:color="DCE1D8" w:sz="4"/>
          <w:right w:val="none"/>
          <w:insideH w:val="single" w:color="DCE1D8" w:sz="2"/>
          <w:insideV w:val="none"/>
        </w:tblBorders>
      </w:tblPr>
      <w:tblGrid>
        <w:gridCol w:w="2400"/>
        <w:gridCol w:w="6960"/>
      </w:tblGrid>
      <w:tr>
        <w:trPr>
          <w:tblHeader/>
        </w:trPr>
        <w:tc>
          <w:tcPr>
            <w:tcW w:type="dxa" w:w="240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Term</w:t>
            </w:r>
          </w:p>
        </w:tc>
        <w:tc>
          <w:tcPr>
            <w:tcW w:type="dxa" w:w="6960"/>
            <w:shd w:fill="EFF3EC" w:val="clear"/>
            <w:tcMar>
              <w:top w:type="dxa" w:w="80"/>
              <w:left w:type="dxa" w:w="110"/>
              <w:bottom w:type="dxa" w:w="80"/>
              <w:right w:type="dxa" w:w="110"/>
            </w:tcMar>
          </w:tcPr>
          <w:p>
            <w:pPr>
              <w:spacing w:after="0" w:line="260"/>
            </w:pPr>
            <w:r>
              <w:rPr>
                <w:rFonts w:ascii="Arial" w:cs="Arial" w:eastAsia="Arial" w:hAnsi="Arial"/>
                <w:b/>
                <w:bCs/>
                <w:color w:val="5A685E"/>
                <w:sz w:val="17"/>
                <w:szCs w:val="17"/>
              </w:rPr>
              <w:t xml:space="preserve">Definition</w:t>
            </w:r>
          </w:p>
        </w:tc>
      </w:tr>
      <w:tr>
        <w:tc>
          <w:tcPr>
            <w:tcW w:type="dxa" w:w="24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CMS — Capability Maturity Score</w:t>
            </w:r>
          </w:p>
        </w:tc>
        <w:tc>
          <w:tcPr>
            <w:tcW w:type="dxa" w:w="69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Weighted mean of C1–C4 pillar levels (25/30/25/20). Reported 1–5.</w:t>
            </w:r>
          </w:p>
        </w:tc>
      </w:tr>
      <w:tr>
        <w:tc>
          <w:tcPr>
            <w:tcW w:type="dxa" w:w="24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EMS — Ecosystem Maturity Score</w:t>
            </w:r>
          </w:p>
        </w:tc>
        <w:tc>
          <w:tcPr>
            <w:tcW w:type="dxa" w:w="69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Weighted mean of E1 (70%) and E2 (30%) pillars.</w:t>
            </w:r>
          </w:p>
        </w:tc>
      </w:tr>
      <w:tr>
        <w:tc>
          <w:tcPr>
            <w:tcW w:type="dxa" w:w="24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OES — Outcome &amp; Equity Score</w:t>
            </w:r>
          </w:p>
        </w:tc>
        <w:tc>
          <w:tcPr>
            <w:tcW w:type="dxa" w:w="69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O1 pillar mean level. Deliberately kept separate from CMS/EMS.</w:t>
            </w:r>
          </w:p>
        </w:tc>
      </w:tr>
      <w:tr>
        <w:tc>
          <w:tcPr>
            <w:tcW w:type="dxa" w:w="24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Stage — Overall stage</w:t>
            </w:r>
          </w:p>
        </w:tc>
        <w:tc>
          <w:tcPr>
            <w:tcW w:type="dxa" w:w="69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Stage 1 (Foundation constrained) through Stage 5 (Transformative). Derived non-compensatively from CMS/EMS/OES subject to core-gate and coverage rules.</w:t>
            </w:r>
          </w:p>
        </w:tc>
      </w:tr>
      <w:tr>
        <w:tc>
          <w:tcPr>
            <w:tcW w:type="dxa" w:w="24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Core gate — Core-gate indicator</w:t>
            </w:r>
          </w:p>
        </w:tc>
        <w:tc>
          <w:tcPr>
            <w:tcW w:type="dxa" w:w="69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14 foundational indicators treated as prerequisites, not points. L1 caps the stage at 1; unmeasured suppresses the stage entirely.</w:t>
            </w:r>
          </w:p>
        </w:tc>
      </w:tr>
      <w:tr>
        <w:tc>
          <w:tcPr>
            <w:tcW w:type="dxa" w:w="24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Coverage — Coverage gate</w:t>
            </w:r>
          </w:p>
        </w:tc>
        <w:tc>
          <w:tcPr>
            <w:tcW w:type="dxa" w:w="69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Share of a pillar's indicators that carry an assigned level. Below 60% the pillar reads Not rated; a composite containing an unrated pillar is also suppressed.</w:t>
            </w:r>
          </w:p>
        </w:tc>
      </w:tr>
      <w:tr>
        <w:tc>
          <w:tcPr>
            <w:tcW w:type="dxa" w:w="24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Confidence — Confidence weight</w:t>
            </w:r>
          </w:p>
        </w:tc>
        <w:tc>
          <w:tcPr>
            <w:tcW w:type="dxa" w:w="69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High=1.0, Medium=0.6, Low=0.3. Used to compute Weighted Evidence Adequacy.</w:t>
            </w:r>
          </w:p>
        </w:tc>
      </w:tr>
      <w:tr>
        <w:tc>
          <w:tcPr>
            <w:tcW w:type="dxa" w:w="24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Adequacy — Weighted evidence adequacy</w:t>
            </w:r>
          </w:p>
        </w:tc>
        <w:tc>
          <w:tcPr>
            <w:tcW w:type="dxa" w:w="69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Confidence-weighted share of scored indicators. Must clear 0.5 for the read-out to stand.</w:t>
            </w:r>
          </w:p>
        </w:tc>
      </w:tr>
      <w:tr>
        <w:tc>
          <w:tcPr>
            <w:tcW w:type="dxa" w:w="24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Stale — Stale evidence</w:t>
            </w:r>
          </w:p>
        </w:tc>
        <w:tc>
          <w:tcPr>
            <w:tcW w:type="dxa" w:w="69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A reading whose observation year is older than the indicator's max age (2 or 3 years).</w:t>
            </w:r>
          </w:p>
        </w:tc>
      </w:tr>
      <w:tr>
        <w:tc>
          <w:tcPr>
            <w:tcW w:type="dxa" w:w="24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Data Gap</w:t>
            </w:r>
          </w:p>
        </w:tc>
        <w:tc>
          <w:tcPr>
            <w:tcW w:type="dxa" w:w="69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No assessor level and no machine level. Excluded from scoring, reported separately.</w:t>
            </w:r>
          </w:p>
        </w:tc>
      </w:tr>
      <w:tr>
        <w:tc>
          <w:tcPr>
            <w:tcW w:type="dxa" w:w="24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Provisional — Provisional level</w:t>
            </w:r>
          </w:p>
        </w:tc>
        <w:tc>
          <w:tcPr>
            <w:tcW w:type="dxa" w:w="69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A level derived by machine from a threshold rule, not yet confirmed by an assessor.</w:t>
            </w:r>
          </w:p>
        </w:tc>
      </w:tr>
      <w:tr>
        <w:tc>
          <w:tcPr>
            <w:tcW w:type="dxa" w:w="2400"/>
            <w:tcMar>
              <w:top w:type="dxa" w:w="80"/>
              <w:left w:type="dxa" w:w="110"/>
              <w:bottom w:type="dxa" w:w="80"/>
              <w:right w:type="dxa" w:w="110"/>
            </w:tcMar>
          </w:tcPr>
          <w:p>
            <w:pPr>
              <w:spacing w:after="0" w:line="260"/>
            </w:pPr>
            <w:r>
              <w:rPr>
                <w:rFonts w:ascii="Arial" w:cs="Arial" w:eastAsia="Arial" w:hAnsi="Arial"/>
                <w:b/>
                <w:bCs/>
                <w:color w:val="212B24"/>
                <w:sz w:val="19"/>
                <w:szCs w:val="19"/>
              </w:rPr>
              <w:t xml:space="preserve">Engagement package</w:t>
            </w:r>
          </w:p>
        </w:tc>
        <w:tc>
          <w:tcPr>
            <w:tcW w:type="dxa" w:w="6960"/>
            <w:tcMar>
              <w:top w:type="dxa" w:w="80"/>
              <w:left w:type="dxa" w:w="110"/>
              <w:bottom w:type="dxa" w:w="80"/>
              <w:right w:type="dxa" w:w="110"/>
            </w:tcMar>
          </w:tcPr>
          <w:p>
            <w:pPr>
              <w:spacing w:after="0" w:line="260"/>
            </w:pPr>
            <w:r>
              <w:rPr>
                <w:rFonts w:ascii="Arial" w:cs="Arial" w:eastAsia="Arial" w:hAnsi="Arial"/>
                <w:b w:val="false"/>
                <w:bCs w:val="false"/>
                <w:color w:val="212B24"/>
                <w:sz w:val="19"/>
                <w:szCs w:val="19"/>
              </w:rPr>
              <w:t xml:space="preserve">Everything assembled before the government mandate. No stage is claimable however complete the evidence looks.</w:t>
            </w:r>
          </w:p>
        </w:tc>
      </w:tr>
    </w:tbl>
    <w:p>
      <w:pPr>
        <w:spacing w:after="140" w:line="280"/>
      </w:pPr>
      <w:r>
        <w:rPr>
          <w:rFonts w:ascii="Arial" w:cs="Arial" w:eastAsia="Arial" w:hAnsi="Arial"/>
          <w:color w:val="212B24"/>
          <w:sz w:val="21"/>
          <w:szCs w:val="21"/>
        </w:rPr>
        <w:t xml:space="preserve"/>
      </w:r>
    </w:p>
    <w:p>
      <w:pPr>
        <w:pBdr>
          <w:bottom w:val="single" w:color="DCE1D8" w:sz="6"/>
        </w:pBdr>
        <w:spacing w:after="200" w:before="60"/>
      </w:pPr>
      <w:r>
        <w:rPr>
          <w:rFonts w:ascii="Arial" w:cs="Arial" w:eastAsia="Arial" w:hAnsi="Arial"/>
          <w:sz w:val="2"/>
          <w:szCs w:val="2"/>
        </w:rPr>
        <w:t xml:space="preserve"/>
      </w:r>
    </w:p>
    <w:p>
      <w:pPr>
        <w:spacing w:after="140" w:line="280"/>
      </w:pPr>
      <w:r>
        <w:rPr>
          <w:rFonts w:ascii="Arial" w:cs="Arial" w:eastAsia="Arial" w:hAnsi="Arial"/>
          <w:color w:val="5A685E"/>
          <w:sz w:val="18"/>
          <w:szCs w:val="18"/>
        </w:rPr>
        <w:t xml:space="preserve">Generated from the model configuration in use (DAMM v1.5). Independent prototype — not an official World Bank system, not a country ranking, not a scoring service.</w:t>
      </w:r>
    </w:p>
    <w:sectPr>
      <w:pgSz w:w="12240" w:h="15840" w:orient="portrait"/>
      <w:pgMar w:top="118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B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DAMM v1.5 Guidebook</dc:title>
  <dc:creator>DAR Studio</dc:creator>
  <dc:description>A guidebook to the Digital Agriculture Maturity Model as implemented</dc:description>
  <cp:lastModifiedBy>Un-named</cp:lastModifiedBy>
  <cp:revision>1</cp:revision>
  <dcterms:created xsi:type="dcterms:W3CDTF">2026-08-19T21:06:09.477Z</dcterms:created>
  <dcterms:modified xsi:type="dcterms:W3CDTF">2026-08-19T21:06:09.480Z</dcterms:modified>
</cp:coreProperties>
</file>

<file path=docProps/custom.xml><?xml version="1.0" encoding="utf-8"?>
<Properties xmlns="http://schemas.openxmlformats.org/officeDocument/2006/custom-properties" xmlns:vt="http://schemas.openxmlformats.org/officeDocument/2006/docPropsVTypes"/>
</file>