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Willkommen bei World Office</w:t>
      </w:r>
    </w:p>
    <w:p>
      <w:r>
        <w:t>Dieses Beispieldokument zeigt, was die Editier- und Konvertierungspipeline kann: </w:t>
      </w:r>
      <w:r>
        <w:rPr>
          <w:b/>
        </w:rPr>
        <w:t>fette</w:t>
      </w:r>
      <w:r>
        <w:t> und </w:t>
      </w:r>
      <w:r>
        <w:rPr>
          <w:i/>
        </w:rPr>
        <w:t>kursive</w:t>
      </w:r>
      <w:r>
        <w:t> Textpassagen, ein eingebettetes Bild, eine Liste, eine Tabelle mit Kopfzeile und einen echten Seitenumbruch.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1371600"/>
            <wp:docPr id="1" name="Banner" descr="World Office Bann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nner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Abbildung 1: World Office — das komplette Office im Browser.</w:t>
      </w:r>
    </w:p>
    <w:p>
      <w:pPr>
        <w:pStyle w:val="Heading2"/>
      </w:pPr>
      <w:r>
        <w:t>Fähigkeiten im Überblick</w:t>
      </w:r>
    </w:p>
    <w:p>
      <w:pPr>
        <w:numPr>
          <w:ilvl w:val="0"/>
          <w:numId w:val="1"/>
        </w:numPr>
      </w:pPr>
      <w:r>
        <w:t>DOCX, XLSX und PPTX — lesen und schreiben mit dem OOXML-Core</w:t>
      </w:r>
    </w:p>
    <w:p>
      <w:pPr>
        <w:numPr>
          <w:ilvl w:val="0"/>
          <w:numId w:val="1"/>
        </w:numPr>
      </w:pPr>
      <w:r>
        <w:t>Reader für Word-2003-XML, RTF, ODT, EPUB und FB2</w:t>
      </w:r>
    </w:p>
    <w:p>
      <w:pPr>
        <w:numPr>
          <w:ilvl w:val="0"/>
          <w:numId w:val="1"/>
        </w:numPr>
      </w:pPr>
      <w:r>
        <w:t>DOCX-nach-PDF-Export (%PDF-1.7) mit seitengetreuem Layout</w:t>
      </w:r>
    </w:p>
    <w:p>
      <w:pPr>
        <w:numPr>
          <w:ilvl w:val="0"/>
          <w:numId w:val="1"/>
        </w:numPr>
      </w:pPr>
      <w:r>
        <w:t>WOPI-Co-Authoring und ein Agent-Kommandobus</w:t>
      </w:r>
    </w:p>
    <w:p>
      <w:pPr>
        <w:pStyle w:val="Heading2"/>
      </w:pPr>
      <w:r>
        <w:t>Formatmatrix</w:t>
      </w:r>
    </w:p>
    <w:tbl>
      <w:tblPr>
        <w:tblW w:w="0" w:type="auto"/>
        <w:tblBorders/>
      </w:tblPr>
      <w:tblGrid>
        <w:gridCol/>
        <w:gridCol/>
        <w:gridCol/>
      </w:tblGrid>
      <w:tr>
        <w:trPr>
          <w:tblHeader/>
        </w:trPr>
        <w:tc>
          <w:tcPr>
            <w:shd w:val="clear" w:fill="D9E2F3"/>
          </w:tcPr>
          <w:p>
            <w:r>
              <w:rPr>
                <w:b/>
              </w:rPr>
              <w:t>Format</w:t>
            </w:r>
          </w:p>
        </w:tc>
        <w:tc>
          <w:tcPr>
            <w:shd w:val="clear" w:fill="D9E2F3"/>
          </w:tcPr>
          <w:p>
            <w:r>
              <w:rPr>
                <w:b/>
              </w:rPr>
              <w:t>Richtung</w:t>
            </w:r>
          </w:p>
        </w:tc>
        <w:tc>
          <w:tcPr>
            <w:shd w:val="clear" w:fill="D9E2F3"/>
          </w:tcPr>
          <w:p>
            <w:r>
              <w:rPr>
                <w:b/>
              </w:rPr>
              <w:t>Vertrag</w:t>
            </w:r>
          </w:p>
        </w:tc>
      </w:tr>
      <w:tr>
        <w:tc>
          <w:tcPr/>
          <w:p>
            <w:r>
              <w:t>Format</w:t>
            </w:r>
          </w:p>
        </w:tc>
        <w:tc>
          <w:tcPr/>
          <w:p>
            <w:r>
              <w:t>Richtung</w:t>
            </w:r>
          </w:p>
        </w:tc>
        <w:tc>
          <w:tcPr/>
          <w:p>
            <w:r>
              <w:t>Vertrag</w:t>
            </w:r>
          </w:p>
        </w:tc>
      </w:tr>
      <w:tr>
        <w:tc>
          <w:tcPr/>
          <w:p>
            <w:r>
              <w:t>DOCX</w:t>
            </w:r>
          </w:p>
        </w:tc>
        <w:tc>
          <w:tcPr/>
          <w:p>
            <w:r>
              <w:t>lesen + schreiben</w:t>
            </w:r>
          </w:p>
        </w:tc>
        <w:tc>
          <w:tcPr/>
          <w:p>
            <w:r>
              <w:t>F-1xx</w:t>
            </w:r>
          </w:p>
        </w:tc>
      </w:tr>
      <w:tr>
        <w:tc>
          <w:tcPr/>
          <w:p>
            <w:r>
              <w:t>XLSX</w:t>
            </w:r>
          </w:p>
        </w:tc>
        <w:tc>
          <w:tcPr/>
          <w:p>
            <w:r>
              <w:t>lesen + schreiben</w:t>
            </w:r>
          </w:p>
        </w:tc>
        <w:tc>
          <w:tcPr/>
          <w:p>
            <w:r>
              <w:t>F-2xx</w:t>
            </w:r>
          </w:p>
        </w:tc>
      </w:tr>
      <w:tr>
        <w:tc>
          <w:tcPr/>
          <w:p>
            <w:r>
              <w:t>PPTX</w:t>
            </w:r>
          </w:p>
        </w:tc>
        <w:tc>
          <w:tcPr/>
          <w:p>
            <w:r>
              <w:t>lesen + schreiben</w:t>
            </w:r>
          </w:p>
        </w:tc>
        <w:tc>
          <w:tcPr/>
          <w:p>
            <w:r>
              <w:t>F-3xx</w:t>
            </w:r>
          </w:p>
        </w:tc>
      </w:tr>
      <w:tr>
        <w:tc>
          <w:tcPr/>
          <w:p>
            <w:r>
              <w:t>PDF</w:t>
            </w:r>
          </w:p>
        </w:tc>
        <w:tc>
          <w:tcPr/>
          <w:p>
            <w:r>
              <w:t>Export</w:t>
            </w:r>
          </w:p>
        </w:tc>
        <w:tc>
          <w:tcPr/>
          <w:p>
            <w:r>
              <w:t>F-403</w:t>
            </w:r>
          </w:p>
        </w:tc>
      </w:tr>
    </w:tbl>
    <w:p>
      <w:r>
        <w:br w:type="page"/>
      </w:r>
    </w:p>
    <w:p>
      <w:pPr>
        <w:pStyle w:val="Heading1"/>
      </w:pPr>
      <w:r>
        <w:t>Seite zwei</w:t>
      </w:r>
    </w:p>
    <w:p>
      <w:r>
        <w:t>Die Überschrift oben beginnt eine neue Seite — Paginierung, Shared Strings und Einheitenkonvertierung folgen den OO-Core-Verträgen.</w:t>
      </w:r>
    </w:p>
    <w:p>
      <w:r>
        <w:t>Bearbeiten Sie dieses Dokument einfach weiter und speichern Sie: Der Server konvertiert alles zurück nach DOCX — inklusive Bild und Tabelle.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240" w:after="120"/>
      <w:outlineLvl w:val="0"/>
    </w:pPr>
    <w:rPr>
      <w:b/>
      <w:color w:val="17324F"/>
      <w:sz w:val="36"/>
    </w:rPr>
  </w:style>
  <w:style w:type="paragraph" w:styleId="Heading2">
    <w:name w:val="heading 2"/>
    <w:pPr>
      <w:spacing w:before="200" w:after="100"/>
      <w:outlineLvl w:val="1"/>
    </w:pPr>
    <w:rPr>
      <w:b/>
      <w:color w:val="17324F"/>
      <w:sz w:val="28"/>
    </w:rPr>
  </w:style>
  <w:style w:type="paragraph" w:styleId="ListParagraph">
    <w:name w:val="List Paragraph"/>
    <w:pPr>
      <w:ind w:left="72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Img" Type="http://schemas.openxmlformats.org/officeDocument/2006/relationships/image" Target="media/banner.png"/></Relationships>
</file>