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Paragraph 1 of the header and footer parity document. The body flow carries enough text to wrap several times per paragraph so the sheet fills and the document spans multiple pages under both engines.</w:t>
      </w:r>
    </w:p>
    <w:p>
      <w:r>
        <w:t>Paragraph 2 of the header and footer parity document. The body flow carries enough text to wrap several times per paragraph so the sheet fills and the document spans multiple pages under both engines.</w:t>
      </w:r>
    </w:p>
    <w:p>
      <w:r>
        <w:t>Paragraph 3 of the header and footer parity document. The body flow carries enough text to wrap several times per paragraph so the sheet fills and the document spans multiple pages under both engines.</w:t>
      </w:r>
    </w:p>
    <w:p>
      <w:r>
        <w:t>Paragraph 4 of the header and footer parity document. The body flow carries enough text to wrap several times per paragraph so the sheet fills and the document spans multiple pages under both engines.</w:t>
      </w:r>
    </w:p>
    <w:p>
      <w:r>
        <w:t>Paragraph 5 of the header and footer parity document. The body flow carries enough text to wrap several times per paragraph so the sheet fills and the document spans multiple pages under both engines.</w:t>
      </w:r>
    </w:p>
    <w:p>
      <w:r>
        <w:t>Paragraph 6 of the header and footer parity document. The body flow carries enough text to wrap several times per paragraph so the sheet fills and the document spans multiple pages under both engines.</w:t>
      </w:r>
    </w:p>
    <w:p>
      <w:r>
        <w:t>Paragraph 7 of the header and footer parity document. The body flow carries enough text to wrap several times per paragraph so the sheet fills and the document spans multiple pages under both engines.</w:t>
      </w:r>
    </w:p>
    <w:p>
      <w:r>
        <w:t>Paragraph 8 of the header and footer parity document. The body flow carries enough text to wrap several times per paragraph so the sheet fills and the document spans multiple pages under both engines.</w:t>
      </w:r>
    </w:p>
    <w:p>
      <w:r>
        <w:t>Paragraph 9 of the header and footer parity document. The body flow carries enough text to wrap several times per paragraph so the sheet fills and the document spans multiple pages under both engines.</w:t>
      </w:r>
    </w:p>
    <w:p>
      <w:r>
        <w:t>Paragraph 10 of the header and footer parity document. The body flow carries enough text to wrap several times per paragraph so the sheet fills and the document spans multiple pages under both engines.</w:t>
      </w:r>
    </w:p>
    <w:p>
      <w:r>
        <w:t>Paragraph 11 of the header and footer parity document. The body flow carries enough text to wrap several times per paragraph so the sheet fills and the document spans multiple pages under both engines.</w:t>
      </w:r>
    </w:p>
    <w:p>
      <w:r>
        <w:t>Paragraph 12 of the header and footer parity document. The body flow carries enough text to wrap several times per paragraph so the sheet fills and the document spans multiple pages under both engines.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Confidential draft, do not distribute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WO Parity Report — Headers &amp;amp; Footers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